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227330</wp:posOffset>
            </wp:positionH>
            <wp:positionV relativeFrom="page">
              <wp:posOffset>688340</wp:posOffset>
            </wp:positionV>
            <wp:extent cx="70942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4220" cy="6985"/>
                    </a:xfrm>
                    <a:prstGeom prst="rect">
                      <a:avLst/>
                    </a:prstGeom>
                    <a:noFill/>
                  </pic:spPr>
                </pic:pic>
              </a:graphicData>
            </a:graphic>
          </wp:anchor>
        </w:drawing>
        <w:t>UNITED STATES</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63" w:lineRule="exact"/>
        <w:rPr>
          <w:sz w:val="24"/>
          <w:szCs w:val="24"/>
          <w:color w:val="auto"/>
        </w:rPr>
      </w:pPr>
    </w:p>
    <w:p>
      <w:pPr>
        <w:ind w:left="520" w:hanging="448"/>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 the quarterly period ended June 30, 2025</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39" w:lineRule="exact"/>
        <w:rPr>
          <w:sz w:val="24"/>
          <w:szCs w:val="24"/>
          <w:color w:val="auto"/>
        </w:rPr>
      </w:pPr>
    </w:p>
    <w:p>
      <w:pPr>
        <w:ind w:left="520" w:hanging="448"/>
        <w:spacing w:after="0"/>
        <w:tabs>
          <w:tab w:leader="none" w:pos="5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1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For the transition period from</w:t>
            </w:r>
          </w:p>
        </w:tc>
        <w:tc>
          <w:tcPr>
            <w:tcW w:w="420" w:type="dxa"/>
            <w:vAlign w:val="bottom"/>
            <w:tcBorders>
              <w:bottom w:val="single" w:sz="8" w:color="auto"/>
            </w:tcBorders>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1"/>
              </w:rPr>
              <w:t>to</w:t>
            </w:r>
          </w:p>
        </w:tc>
        <w:tc>
          <w:tcPr>
            <w:tcW w:w="420" w:type="dxa"/>
            <w:vAlign w:val="bottom"/>
            <w:tcBorders>
              <w:bottom w:val="single" w:sz="8" w:color="auto"/>
            </w:tcBorders>
            <w:gridSpan w:val="2"/>
          </w:tcPr>
          <w:p>
            <w:pPr>
              <w:spacing w:after="0"/>
              <w:rPr>
                <w:sz w:val="13"/>
                <w:szCs w:val="13"/>
                <w:color w:val="auto"/>
              </w:rPr>
            </w:pPr>
          </w:p>
        </w:tc>
        <w:tc>
          <w:tcPr>
            <w:tcW w:w="4300" w:type="dxa"/>
            <w:vAlign w:val="bottom"/>
          </w:tcPr>
          <w:p>
            <w:pPr>
              <w:spacing w:after="0"/>
              <w:rPr>
                <w:sz w:val="13"/>
                <w:szCs w:val="13"/>
                <w:color w:val="auto"/>
              </w:rPr>
            </w:pPr>
          </w:p>
        </w:tc>
      </w:tr>
      <w:tr>
        <w:trPr>
          <w:trHeight w:val="181"/>
        </w:trPr>
        <w:tc>
          <w:tcPr>
            <w:tcW w:w="3860" w:type="dxa"/>
            <w:vAlign w:val="bottom"/>
          </w:tcPr>
          <w:p>
            <w:pPr>
              <w:spacing w:after="0"/>
              <w:rPr>
                <w:sz w:val="15"/>
                <w:szCs w:val="15"/>
                <w:color w:val="auto"/>
              </w:rPr>
            </w:pPr>
          </w:p>
        </w:tc>
        <w:tc>
          <w:tcPr>
            <w:tcW w:w="7440" w:type="dxa"/>
            <w:vAlign w:val="bottom"/>
            <w:gridSpan w:val="6"/>
          </w:tcPr>
          <w:p>
            <w:pPr>
              <w:jc w:val="center"/>
              <w:ind w:right="3789"/>
              <w:spacing w:after="0"/>
              <w:rPr>
                <w:sz w:val="20"/>
                <w:szCs w:val="20"/>
                <w:color w:val="auto"/>
              </w:rPr>
            </w:pPr>
            <w:r>
              <w:rPr>
                <w:rFonts w:ascii="Times New Roman" w:cs="Times New Roman" w:eastAsia="Times New Roman" w:hAnsi="Times New Roman"/>
                <w:sz w:val="14"/>
                <w:szCs w:val="14"/>
                <w:color w:val="auto"/>
              </w:rPr>
              <w:t>Commission file number 001-33998</w:t>
            </w:r>
          </w:p>
        </w:tc>
      </w:tr>
      <w:tr>
        <w:trPr>
          <w:trHeight w:val="463"/>
        </w:trPr>
        <w:tc>
          <w:tcPr>
            <w:tcW w:w="11300" w:type="dxa"/>
            <w:vAlign w:val="bottom"/>
            <w:gridSpan w:val="7"/>
          </w:tcPr>
          <w:p>
            <w:pPr>
              <w:jc w:val="center"/>
              <w:spacing w:after="0"/>
              <w:rPr>
                <w:sz w:val="20"/>
                <w:szCs w:val="20"/>
                <w:color w:val="auto"/>
              </w:rPr>
            </w:pPr>
            <w:r>
              <w:rPr>
                <w:rFonts w:ascii="Times New Roman" w:cs="Times New Roman" w:eastAsia="Times New Roman" w:hAnsi="Times New Roman"/>
                <w:sz w:val="34"/>
                <w:szCs w:val="34"/>
                <w:b w:val="1"/>
                <w:bCs w:val="1"/>
                <w:color w:val="auto"/>
                <w:w w:val="99"/>
              </w:rPr>
              <w:t>Churchill Downs Incorporated</w:t>
            </w:r>
          </w:p>
        </w:tc>
      </w:tr>
      <w:tr>
        <w:trPr>
          <w:trHeight w:val="205"/>
        </w:trPr>
        <w:tc>
          <w:tcPr>
            <w:tcW w:w="3860" w:type="dxa"/>
            <w:vAlign w:val="bottom"/>
          </w:tcPr>
          <w:p>
            <w:pPr>
              <w:spacing w:after="0"/>
              <w:rPr>
                <w:sz w:val="17"/>
                <w:szCs w:val="17"/>
                <w:color w:val="auto"/>
              </w:rPr>
            </w:pPr>
          </w:p>
        </w:tc>
        <w:tc>
          <w:tcPr>
            <w:tcW w:w="7440" w:type="dxa"/>
            <w:vAlign w:val="bottom"/>
            <w:gridSpan w:val="6"/>
          </w:tcPr>
          <w:p>
            <w:pPr>
              <w:jc w:val="center"/>
              <w:ind w:right="380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02"/>
        </w:trPr>
        <w:tc>
          <w:tcPr>
            <w:tcW w:w="3860" w:type="dxa"/>
            <w:vAlign w:val="bottom"/>
          </w:tcPr>
          <w:p>
            <w:pPr>
              <w:jc w:val="center"/>
              <w:ind w:left="998"/>
              <w:spacing w:after="0"/>
              <w:rPr>
                <w:sz w:val="20"/>
                <w:szCs w:val="20"/>
                <w:color w:val="auto"/>
              </w:rPr>
            </w:pPr>
            <w:r>
              <w:rPr>
                <w:rFonts w:ascii="Times New Roman" w:cs="Times New Roman" w:eastAsia="Times New Roman" w:hAnsi="Times New Roman"/>
                <w:sz w:val="14"/>
                <w:szCs w:val="14"/>
                <w:b w:val="1"/>
                <w:bCs w:val="1"/>
                <w:color w:val="auto"/>
                <w:w w:val="99"/>
              </w:rPr>
              <w:t>Kentucky</w:t>
            </w: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80" w:type="dxa"/>
            <w:vAlign w:val="bottom"/>
            <w:gridSpan w:val="4"/>
          </w:tcPr>
          <w:p>
            <w:pPr>
              <w:jc w:val="right"/>
              <w:ind w:right="1789"/>
              <w:spacing w:after="0"/>
              <w:rPr>
                <w:sz w:val="20"/>
                <w:szCs w:val="20"/>
                <w:color w:val="auto"/>
              </w:rPr>
            </w:pPr>
            <w:r>
              <w:rPr>
                <w:rFonts w:ascii="Times New Roman" w:cs="Times New Roman" w:eastAsia="Times New Roman" w:hAnsi="Times New Roman"/>
                <w:sz w:val="14"/>
                <w:szCs w:val="14"/>
                <w:b w:val="1"/>
                <w:bCs w:val="1"/>
                <w:color w:val="auto"/>
              </w:rPr>
              <w:t>61-0156015</w:t>
            </w:r>
          </w:p>
        </w:tc>
      </w:tr>
      <w:tr>
        <w:trPr>
          <w:trHeight w:val="202"/>
        </w:trPr>
        <w:tc>
          <w:tcPr>
            <w:tcW w:w="6420" w:type="dxa"/>
            <w:vAlign w:val="bottom"/>
            <w:gridSpan w:val="3"/>
          </w:tcPr>
          <w:p>
            <w:pPr>
              <w:jc w:val="center"/>
              <w:ind w:right="14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0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44"/>
        </w:trPr>
        <w:tc>
          <w:tcPr>
            <w:tcW w:w="3860" w:type="dxa"/>
            <w:vAlign w:val="bottom"/>
          </w:tcPr>
          <w:p>
            <w:pPr>
              <w:jc w:val="center"/>
              <w:ind w:left="998"/>
              <w:spacing w:after="0"/>
              <w:rPr>
                <w:sz w:val="20"/>
                <w:szCs w:val="20"/>
                <w:color w:val="auto"/>
              </w:rPr>
            </w:pPr>
            <w:r>
              <w:rPr>
                <w:rFonts w:ascii="Times New Roman" w:cs="Times New Roman" w:eastAsia="Times New Roman" w:hAnsi="Times New Roman"/>
                <w:sz w:val="14"/>
                <w:szCs w:val="14"/>
                <w:b w:val="1"/>
                <w:bCs w:val="1"/>
                <w:color w:val="auto"/>
              </w:rPr>
              <w:t>600 North Hurstbourne Parkway, Suite 400</w:t>
            </w:r>
          </w:p>
        </w:tc>
        <w:tc>
          <w:tcPr>
            <w:tcW w:w="2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19"/>
        </w:trPr>
        <w:tc>
          <w:tcPr>
            <w:tcW w:w="3860" w:type="dxa"/>
            <w:vAlign w:val="bottom"/>
          </w:tcPr>
          <w:p>
            <w:pPr>
              <w:jc w:val="center"/>
              <w:ind w:left="938"/>
              <w:spacing w:after="0"/>
              <w:rPr>
                <w:sz w:val="20"/>
                <w:szCs w:val="20"/>
                <w:color w:val="auto"/>
              </w:rPr>
            </w:pPr>
            <w:r>
              <w:rPr>
                <w:rFonts w:ascii="Times New Roman" w:cs="Times New Roman" w:eastAsia="Times New Roman" w:hAnsi="Times New Roman"/>
                <w:sz w:val="14"/>
                <w:szCs w:val="14"/>
                <w:b w:val="1"/>
                <w:bCs w:val="1"/>
                <w:color w:val="auto"/>
              </w:rPr>
              <w:t>Louisville, Kentucky</w:t>
            </w:r>
          </w:p>
        </w:tc>
        <w:tc>
          <w:tcPr>
            <w:tcW w:w="2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80" w:type="dxa"/>
            <w:vAlign w:val="bottom"/>
            <w:gridSpan w:val="4"/>
          </w:tcPr>
          <w:p>
            <w:pPr>
              <w:jc w:val="right"/>
              <w:ind w:right="1949"/>
              <w:spacing w:after="0"/>
              <w:rPr>
                <w:sz w:val="20"/>
                <w:szCs w:val="20"/>
                <w:color w:val="auto"/>
              </w:rPr>
            </w:pPr>
            <w:r>
              <w:rPr>
                <w:rFonts w:ascii="Times New Roman" w:cs="Times New Roman" w:eastAsia="Times New Roman" w:hAnsi="Times New Roman"/>
                <w:sz w:val="14"/>
                <w:szCs w:val="14"/>
                <w:b w:val="1"/>
                <w:bCs w:val="1"/>
                <w:color w:val="auto"/>
              </w:rPr>
              <w:t>40222</w:t>
            </w:r>
          </w:p>
        </w:tc>
      </w:tr>
      <w:tr>
        <w:trPr>
          <w:trHeight w:val="184"/>
        </w:trPr>
        <w:tc>
          <w:tcPr>
            <w:tcW w:w="3860" w:type="dxa"/>
            <w:vAlign w:val="bottom"/>
          </w:tcPr>
          <w:p>
            <w:pPr>
              <w:jc w:val="center"/>
              <w:ind w:left="99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0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(Zip Code)</w:t>
            </w:r>
          </w:p>
        </w:tc>
      </w:tr>
      <w:tr>
        <w:trPr>
          <w:trHeight w:val="315"/>
        </w:trPr>
        <w:tc>
          <w:tcPr>
            <w:tcW w:w="3860" w:type="dxa"/>
            <w:vAlign w:val="bottom"/>
          </w:tcPr>
          <w:p>
            <w:pPr>
              <w:spacing w:after="0"/>
              <w:rPr>
                <w:sz w:val="24"/>
                <w:szCs w:val="24"/>
                <w:color w:val="auto"/>
              </w:rPr>
            </w:pPr>
          </w:p>
        </w:tc>
        <w:tc>
          <w:tcPr>
            <w:tcW w:w="2560" w:type="dxa"/>
            <w:vAlign w:val="bottom"/>
            <w:gridSpan w:val="2"/>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rPr>
              <w:t>(502) 636-4400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84"/>
        </w:trPr>
        <w:tc>
          <w:tcPr>
            <w:tcW w:w="3860" w:type="dxa"/>
            <w:vAlign w:val="bottom"/>
          </w:tcPr>
          <w:p>
            <w:pPr>
              <w:spacing w:after="0"/>
              <w:rPr>
                <w:sz w:val="16"/>
                <w:szCs w:val="16"/>
                <w:color w:val="auto"/>
              </w:rPr>
            </w:pPr>
          </w:p>
        </w:tc>
        <w:tc>
          <w:tcPr>
            <w:tcW w:w="7440" w:type="dxa"/>
            <w:vAlign w:val="bottom"/>
            <w:gridSpan w:val="6"/>
          </w:tcPr>
          <w:p>
            <w:pPr>
              <w:jc w:val="center"/>
              <w:ind w:right="380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44"/>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2"/>
        </w:trPr>
        <w:tc>
          <w:tcPr>
            <w:tcW w:w="38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r>
      <w:tr>
        <w:trPr>
          <w:trHeight w:val="171"/>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560" w:type="dxa"/>
            <w:vAlign w:val="bottom"/>
            <w:tcBorders>
              <w:bottom w:val="single" w:sz="8" w:color="auto"/>
            </w:tcBorders>
            <w:gridSpan w:val="2"/>
          </w:tcPr>
          <w:p>
            <w:pPr>
              <w:jc w:val="center"/>
              <w:ind w:left="289"/>
              <w:spacing w:after="0"/>
              <w:rPr>
                <w:sz w:val="20"/>
                <w:szCs w:val="20"/>
                <w:color w:val="auto"/>
              </w:rPr>
            </w:pPr>
            <w:r>
              <w:rPr>
                <w:rFonts w:ascii="Times New Roman" w:cs="Times New Roman" w:eastAsia="Times New Roman" w:hAnsi="Times New Roman"/>
                <w:sz w:val="14"/>
                <w:szCs w:val="14"/>
                <w:color w:val="auto"/>
              </w:rPr>
              <w:t>Trading Symbol(s)</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300" w:type="dxa"/>
            <w:vAlign w:val="bottom"/>
            <w:tcBorders>
              <w:bottom w:val="single" w:sz="8" w:color="auto"/>
              <w:right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1"/>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Common Stock, No Par Value</w:t>
            </w:r>
          </w:p>
        </w:tc>
        <w:tc>
          <w:tcPr>
            <w:tcW w:w="2560" w:type="dxa"/>
            <w:vAlign w:val="bottom"/>
            <w:tcBorders>
              <w:bottom w:val="single" w:sz="8" w:color="auto"/>
            </w:tcBorders>
            <w:gridSpan w:val="2"/>
          </w:tcPr>
          <w:p>
            <w:pPr>
              <w:jc w:val="center"/>
              <w:ind w:left="289"/>
              <w:spacing w:after="0"/>
              <w:rPr>
                <w:sz w:val="20"/>
                <w:szCs w:val="20"/>
                <w:color w:val="auto"/>
              </w:rPr>
            </w:pPr>
            <w:r>
              <w:rPr>
                <w:rFonts w:ascii="Times New Roman" w:cs="Times New Roman" w:eastAsia="Times New Roman" w:hAnsi="Times New Roman"/>
                <w:sz w:val="14"/>
                <w:szCs w:val="14"/>
                <w:color w:val="auto"/>
              </w:rPr>
              <w:t>CHDN</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300" w:type="dxa"/>
            <w:vAlign w:val="bottom"/>
            <w:tcBorders>
              <w:bottom w:val="single" w:sz="8" w:color="auto"/>
              <w:right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191"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1" w:lineRule="exact"/>
        <w:rPr>
          <w:sz w:val="24"/>
          <w:szCs w:val="24"/>
          <w:color w:val="auto"/>
        </w:rPr>
      </w:pPr>
    </w:p>
    <w:p>
      <w:pPr>
        <w:ind w:right="1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1" w:lineRule="exact"/>
        <w:rPr>
          <w:sz w:val="24"/>
          <w:szCs w:val="24"/>
          <w:color w:val="auto"/>
        </w:rPr>
      </w:pPr>
    </w:p>
    <w:p>
      <w:pPr>
        <w:ind w:right="280"/>
        <w:spacing w:after="0" w:line="26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56"/>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3020"/>
              <w:spacing w:after="0"/>
              <w:rPr>
                <w:sz w:val="20"/>
                <w:szCs w:val="20"/>
                <w:color w:val="auto"/>
              </w:rPr>
            </w:pPr>
            <w:r>
              <w:rPr>
                <w:rFonts w:ascii="Times New Roman" w:cs="Times New Roman" w:eastAsia="Times New Roman" w:hAnsi="Times New Roman"/>
                <w:sz w:val="13"/>
                <w:szCs w:val="13"/>
                <w:color w:val="auto"/>
              </w:rPr>
              <w:t>Accelerated filer</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30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16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980" w:type="dxa"/>
            <w:vAlign w:val="bottom"/>
          </w:tcPr>
          <w:p>
            <w:pPr>
              <w:ind w:left="3020"/>
              <w:spacing w:after="0"/>
              <w:rPr>
                <w:sz w:val="20"/>
                <w:szCs w:val="20"/>
                <w:color w:val="auto"/>
              </w:rPr>
            </w:pPr>
            <w:r>
              <w:rPr>
                <w:rFonts w:ascii="Times New Roman" w:cs="Times New Roman" w:eastAsia="Times New Roman" w:hAnsi="Times New Roman"/>
                <w:sz w:val="13"/>
                <w:szCs w:val="13"/>
                <w:color w:val="auto"/>
              </w:rPr>
              <w:t>Emerging growth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75" w:lineRule="exact"/>
        <w:rPr>
          <w:sz w:val="24"/>
          <w:szCs w:val="24"/>
          <w:color w:val="auto"/>
        </w:rPr>
      </w:pPr>
    </w:p>
    <w:p>
      <w:pPr>
        <w:ind w:right="26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2" w:lineRule="exact"/>
        <w:rPr>
          <w:sz w:val="24"/>
          <w:szCs w:val="24"/>
          <w:color w:val="auto"/>
        </w:rPr>
      </w:pPr>
    </w:p>
    <w:p>
      <w:pPr>
        <w:ind w:right="474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The number of shares outstanding of registrant’s common stock at July 16, 2025 was 70,124,315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549275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942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4220" cy="6985"/>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 Ended June 30,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56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w w:val="95"/>
              </w:rPr>
              <w:t>Item 1.</w:t>
            </w:r>
          </w:p>
        </w:tc>
        <w:tc>
          <w:tcPr>
            <w:tcW w:w="580" w:type="dxa"/>
            <w:vAlign w:val="bottom"/>
          </w:tcPr>
          <w:p>
            <w:pPr>
              <w:spacing w:after="0"/>
              <w:rPr>
                <w:sz w:val="13"/>
                <w:szCs w:val="13"/>
                <w:color w:val="auto"/>
              </w:rPr>
            </w:pPr>
          </w:p>
        </w:tc>
        <w:tc>
          <w:tcPr>
            <w:tcW w:w="22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Financial Statements (Unaudited)</w:t>
            </w:r>
          </w:p>
        </w:tc>
        <w:tc>
          <w:tcPr>
            <w:tcW w:w="6280" w:type="dxa"/>
            <w:vAlign w:val="bottom"/>
            <w:gridSpan w:val="8"/>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5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Condensed Consolidated Statements of Comprehensive Income for the three and six months ended June 30, 2025 and 2024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Condensed Consolidated Balance Sheets at June 30, 2025 and December 31, 2024</w:t>
            </w:r>
          </w:p>
        </w:tc>
        <w:tc>
          <w:tcPr>
            <w:tcW w:w="2320" w:type="dxa"/>
            <w:vAlign w:val="bottom"/>
            <w:gridSpan w:val="4"/>
          </w:tcPr>
          <w:p>
            <w:pPr>
              <w:spacing w:after="0"/>
              <w:rPr>
                <w:sz w:val="13"/>
                <w:szCs w:val="13"/>
                <w:color w:val="auto"/>
              </w:rPr>
            </w:pPr>
          </w:p>
        </w:tc>
        <w:tc>
          <w:tcPr>
            <w:tcW w:w="158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5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Condensed Consolidated Statements of Shareholders' Equity for the three and six months ended June 30, 2025 and 2024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7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Condensed Consolidated Statements of Cash Flows for the six months ended June 30, 2025 and 2024</w:t>
            </w:r>
          </w:p>
        </w:tc>
        <w:tc>
          <w:tcPr>
            <w:tcW w:w="1060" w:type="dxa"/>
            <w:vAlign w:val="bottom"/>
          </w:tcPr>
          <w:p>
            <w:pPr>
              <w:spacing w:after="0"/>
              <w:rPr>
                <w:sz w:val="13"/>
                <w:szCs w:val="13"/>
                <w:color w:val="auto"/>
              </w:rPr>
            </w:pPr>
          </w:p>
        </w:tc>
        <w:tc>
          <w:tcPr>
            <w:tcW w:w="1760" w:type="dxa"/>
            <w:vAlign w:val="bottom"/>
            <w:gridSpan w:val="2"/>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7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tc>
        <w:tc>
          <w:tcPr>
            <w:tcW w:w="2820" w:type="dxa"/>
            <w:vAlign w:val="bottom"/>
            <w:gridSpan w:val="3"/>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w w:val="95"/>
              </w:rPr>
              <w:t>Item 2.</w:t>
            </w:r>
          </w:p>
        </w:tc>
        <w:tc>
          <w:tcPr>
            <w:tcW w:w="580" w:type="dxa"/>
            <w:vAlign w:val="bottom"/>
          </w:tcPr>
          <w:p>
            <w:pPr>
              <w:spacing w:after="0"/>
              <w:rPr>
                <w:sz w:val="13"/>
                <w:szCs w:val="13"/>
                <w:color w:val="auto"/>
              </w:rPr>
            </w:pPr>
          </w:p>
        </w:tc>
        <w:tc>
          <w:tcPr>
            <w:tcW w:w="85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0"/>
        </w:trPr>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3.</w:t>
            </w:r>
          </w:p>
        </w:tc>
        <w:tc>
          <w:tcPr>
            <w:tcW w:w="580" w:type="dxa"/>
            <w:vAlign w:val="bottom"/>
            <w:tcBorders>
              <w:bottom w:val="single" w:sz="8" w:color="auto"/>
            </w:tcBorders>
          </w:tcPr>
          <w:p>
            <w:pPr>
              <w:spacing w:after="0"/>
              <w:rPr>
                <w:sz w:val="13"/>
                <w:szCs w:val="13"/>
                <w:color w:val="auto"/>
              </w:rPr>
            </w:pPr>
          </w:p>
        </w:tc>
        <w:tc>
          <w:tcPr>
            <w:tcW w:w="34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620" w:type="dxa"/>
            <w:vAlign w:val="bottom"/>
            <w:tcBorders>
              <w:top w:val="single" w:sz="8" w:color="auto"/>
            </w:tcBorders>
            <w:gridSpan w:val="2"/>
          </w:tcPr>
          <w:p>
            <w:pPr>
              <w:spacing w:after="0"/>
              <w:rPr>
                <w:sz w:val="13"/>
                <w:szCs w:val="13"/>
                <w:color w:val="auto"/>
              </w:rPr>
            </w:pPr>
          </w:p>
        </w:tc>
        <w:tc>
          <w:tcPr>
            <w:tcW w:w="3500" w:type="dxa"/>
            <w:vAlign w:val="bottom"/>
            <w:gridSpan w:val="4"/>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39</w:t>
            </w:r>
          </w:p>
        </w:tc>
      </w:tr>
      <w:tr>
        <w:trPr>
          <w:trHeight w:val="160"/>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4.</w:t>
            </w:r>
          </w:p>
        </w:tc>
        <w:tc>
          <w:tcPr>
            <w:tcW w:w="580" w:type="dxa"/>
            <w:vAlign w:val="bottom"/>
          </w:tcPr>
          <w:p>
            <w:pPr>
              <w:spacing w:after="0"/>
              <w:rPr>
                <w:sz w:val="13"/>
                <w:szCs w:val="13"/>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Controls and Procedures</w:t>
            </w:r>
          </w:p>
        </w:tc>
        <w:tc>
          <w:tcPr>
            <w:tcW w:w="7160" w:type="dxa"/>
            <w:vAlign w:val="bottom"/>
            <w:gridSpan w:val="10"/>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40</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Part II-OTHER INFORMATION</w:t>
            </w:r>
          </w:p>
        </w:tc>
        <w:tc>
          <w:tcPr>
            <w:tcW w:w="4720" w:type="dxa"/>
            <w:vAlign w:val="bottom"/>
            <w:gridSpan w:val="2"/>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0"/>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1.</w:t>
            </w:r>
          </w:p>
        </w:tc>
        <w:tc>
          <w:tcPr>
            <w:tcW w:w="580" w:type="dxa"/>
            <w:vAlign w:val="bottom"/>
            <w:gridSpan w:val="2"/>
          </w:tcPr>
          <w:p>
            <w:pPr>
              <w:spacing w:after="0"/>
              <w:rPr>
                <w:sz w:val="13"/>
                <w:szCs w:val="13"/>
                <w:color w:val="auto"/>
              </w:rPr>
            </w:pPr>
          </w:p>
        </w:tc>
        <w:tc>
          <w:tcPr>
            <w:tcW w:w="10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Legal Proceedings</w:t>
            </w:r>
          </w:p>
        </w:tc>
        <w:tc>
          <w:tcPr>
            <w:tcW w:w="5720" w:type="dxa"/>
            <w:vAlign w:val="bottom"/>
            <w:gridSpan w:val="5"/>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41</w:t>
            </w:r>
          </w:p>
        </w:tc>
      </w:tr>
      <w:tr>
        <w:trPr>
          <w:trHeight w:val="160"/>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1A.</w:t>
            </w:r>
          </w:p>
        </w:tc>
        <w:tc>
          <w:tcPr>
            <w:tcW w:w="6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0"/>
        </w:trPr>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w w:val="95"/>
              </w:rPr>
              <w:t>Item 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0"/>
        </w:trPr>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3.</w:t>
            </w:r>
          </w:p>
        </w:tc>
        <w:tc>
          <w:tcPr>
            <w:tcW w:w="580" w:type="dxa"/>
            <w:vAlign w:val="bottom"/>
            <w:gridSpan w:val="2"/>
          </w:tcPr>
          <w:p>
            <w:pPr>
              <w:spacing w:after="0"/>
              <w:rPr>
                <w:sz w:val="13"/>
                <w:szCs w:val="13"/>
                <w:color w:val="auto"/>
              </w:rPr>
            </w:pPr>
          </w:p>
        </w:tc>
        <w:tc>
          <w:tcPr>
            <w:tcW w:w="184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Defaults Upon Senior Securities</w:t>
            </w:r>
          </w:p>
        </w:tc>
        <w:tc>
          <w:tcPr>
            <w:tcW w:w="1580" w:type="dxa"/>
            <w:vAlign w:val="bottom"/>
            <w:tcBorders>
              <w:top w:val="single" w:sz="8" w:color="auto"/>
            </w:tcBorders>
            <w:gridSpan w:val="2"/>
          </w:tcPr>
          <w:p>
            <w:pPr>
              <w:spacing w:after="0"/>
              <w:rPr>
                <w:sz w:val="13"/>
                <w:szCs w:val="13"/>
                <w:color w:val="auto"/>
              </w:rPr>
            </w:pPr>
          </w:p>
        </w:tc>
        <w:tc>
          <w:tcPr>
            <w:tcW w:w="33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41</w:t>
            </w:r>
          </w:p>
        </w:tc>
      </w:tr>
      <w:tr>
        <w:trPr>
          <w:trHeight w:val="160"/>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4.</w:t>
            </w:r>
          </w:p>
        </w:tc>
        <w:tc>
          <w:tcPr>
            <w:tcW w:w="580" w:type="dxa"/>
            <w:vAlign w:val="bottom"/>
            <w:gridSpan w:val="2"/>
          </w:tcPr>
          <w:p>
            <w:pPr>
              <w:spacing w:after="0"/>
              <w:rPr>
                <w:sz w:val="13"/>
                <w:szCs w:val="13"/>
                <w:color w:val="auto"/>
              </w:rPr>
            </w:pPr>
          </w:p>
        </w:tc>
        <w:tc>
          <w:tcPr>
            <w:tcW w:w="14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rPr>
              <w:t>Mine Safety Disclosures</w:t>
            </w:r>
          </w:p>
        </w:tc>
        <w:tc>
          <w:tcPr>
            <w:tcW w:w="5380" w:type="dxa"/>
            <w:vAlign w:val="bottom"/>
            <w:gridSpan w:val="4"/>
          </w:tcPr>
          <w:p>
            <w:pPr>
              <w:spacing w:after="0"/>
              <w:rPr>
                <w:sz w:val="13"/>
                <w:szCs w:val="13"/>
                <w:color w:val="auto"/>
              </w:rPr>
            </w:pP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0"/>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5.</w:t>
            </w:r>
          </w:p>
        </w:tc>
        <w:tc>
          <w:tcPr>
            <w:tcW w:w="580" w:type="dxa"/>
            <w:vAlign w:val="bottom"/>
            <w:gridSpan w:val="2"/>
          </w:tcPr>
          <w:p>
            <w:pPr>
              <w:spacing w:after="0"/>
              <w:rPr>
                <w:sz w:val="13"/>
                <w:szCs w:val="13"/>
                <w:color w:val="auto"/>
              </w:rPr>
            </w:pPr>
          </w:p>
        </w:tc>
        <w:tc>
          <w:tcPr>
            <w:tcW w:w="1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w w:val="99"/>
              </w:rPr>
              <w:t>Other Information</w:t>
            </w:r>
          </w:p>
        </w:tc>
        <w:tc>
          <w:tcPr>
            <w:tcW w:w="5740" w:type="dxa"/>
            <w:vAlign w:val="bottom"/>
            <w:gridSpan w:val="6"/>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41</w:t>
            </w:r>
          </w:p>
        </w:tc>
      </w:tr>
      <w:tr>
        <w:trPr>
          <w:trHeight w:val="160"/>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Item 6.</w:t>
            </w:r>
          </w:p>
        </w:tc>
        <w:tc>
          <w:tcPr>
            <w:tcW w:w="580" w:type="dxa"/>
            <w:vAlign w:val="bottom"/>
            <w:gridSpan w:val="2"/>
          </w:tcPr>
          <w:p>
            <w:pPr>
              <w:spacing w:after="0"/>
              <w:rPr>
                <w:sz w:val="13"/>
                <w:szCs w:val="13"/>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Exhibits</w:t>
            </w:r>
          </w:p>
        </w:tc>
        <w:tc>
          <w:tcPr>
            <w:tcW w:w="6300" w:type="dxa"/>
            <w:vAlign w:val="bottom"/>
            <w:gridSpan w:val="9"/>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42</w:t>
            </w:r>
          </w:p>
        </w:tc>
      </w:tr>
      <w:tr>
        <w:trPr>
          <w:trHeight w:val="160"/>
        </w:trPr>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Signatures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222250</wp:posOffset>
            </wp:positionV>
            <wp:extent cx="71278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100965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63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180" w:type="dxa"/>
            <w:vAlign w:val="bottom"/>
            <w:gridSpan w:val="5"/>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20" w:type="dxa"/>
            <w:vAlign w:val="bottom"/>
          </w:tcPr>
          <w:p>
            <w:pPr>
              <w:spacing w:after="0"/>
              <w:rPr>
                <w:sz w:val="14"/>
                <w:szCs w:val="14"/>
                <w:color w:val="auto"/>
              </w:rPr>
            </w:pPr>
          </w:p>
        </w:tc>
        <w:tc>
          <w:tcPr>
            <w:tcW w:w="7920" w:type="dxa"/>
            <w:vAlign w:val="bottom"/>
            <w:gridSpan w:val="9"/>
          </w:tcPr>
          <w:p>
            <w:pPr>
              <w:jc w:val="center"/>
              <w:ind w:left="204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71"/>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1"/>
                <w:szCs w:val="11"/>
                <w:i w:val="1"/>
                <w:iCs w:val="1"/>
                <w:color w:val="auto"/>
              </w:rPr>
              <w:t>(in millions, except per common share data)</w:t>
            </w:r>
          </w:p>
        </w:tc>
        <w:tc>
          <w:tcPr>
            <w:tcW w:w="1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8"/>
        </w:trPr>
        <w:tc>
          <w:tcPr>
            <w:tcW w:w="3940" w:type="dxa"/>
            <w:vAlign w:val="bottom"/>
            <w:gridSpan w:val="2"/>
          </w:tcPr>
          <w:p>
            <w:pPr>
              <w:ind w:left="140"/>
              <w:spacing w:after="0" w:line="148" w:lineRule="exact"/>
              <w:rPr>
                <w:sz w:val="20"/>
                <w:szCs w:val="20"/>
                <w:color w:val="auto"/>
              </w:rPr>
            </w:pPr>
            <w:r>
              <w:rPr>
                <w:rFonts w:ascii="Times New Roman" w:cs="Times New Roman" w:eastAsia="Times New Roman" w:hAnsi="Times New Roman"/>
                <w:sz w:val="13"/>
                <w:szCs w:val="13"/>
                <w:b w:val="1"/>
                <w:bCs w:val="1"/>
                <w:color w:val="auto"/>
              </w:rPr>
              <w:t>Net revenue:</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Live and Historical Racing</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509.9</w:t>
            </w:r>
          </w:p>
        </w:tc>
        <w:tc>
          <w:tcPr>
            <w:tcW w:w="8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464.7</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782.4</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709.8</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Wagering Services and Solutions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Gaming</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513.4</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All Other</w:t>
            </w: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0"/>
        </w:trPr>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Total net revenue</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1,481.6</w:t>
            </w:r>
          </w:p>
        </w:tc>
        <w:tc>
          <w:tcPr>
            <w:tcW w:w="0" w:type="dxa"/>
            <w:vAlign w:val="bottom"/>
          </w:tcPr>
          <w:p>
            <w:pPr>
              <w:spacing w:after="0"/>
              <w:rPr>
                <w:sz w:val="1"/>
                <w:szCs w:val="1"/>
                <w:color w:val="auto"/>
              </w:rPr>
            </w:pPr>
          </w:p>
        </w:tc>
      </w:tr>
      <w:tr>
        <w:trPr>
          <w:trHeight w:val="170"/>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Operating expense:</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Live and Historical Racing</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Wagering Services and Solutions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Gaming</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All Other</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Asset impairments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Transaction expense, net</w:t>
            </w: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60"/>
        </w:trPr>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Total operating expense</w:t>
            </w:r>
          </w:p>
        </w:tc>
        <w:tc>
          <w:tcPr>
            <w:tcW w:w="1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606.7</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560.7</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1,114.7</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1,025.3</w:t>
            </w:r>
          </w:p>
        </w:tc>
        <w:tc>
          <w:tcPr>
            <w:tcW w:w="0" w:type="dxa"/>
            <w:vAlign w:val="bottom"/>
          </w:tcPr>
          <w:p>
            <w:pPr>
              <w:spacing w:after="0"/>
              <w:rPr>
                <w:sz w:val="1"/>
                <w:szCs w:val="1"/>
                <w:color w:val="auto"/>
              </w:rPr>
            </w:pPr>
          </w:p>
        </w:tc>
      </w:tr>
      <w:tr>
        <w:trPr>
          <w:trHeight w:val="160"/>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0" w:type="dxa"/>
            <w:vAlign w:val="bottom"/>
          </w:tcPr>
          <w:p>
            <w:pPr>
              <w:spacing w:after="0"/>
              <w:rPr>
                <w:sz w:val="1"/>
                <w:szCs w:val="1"/>
                <w:color w:val="auto"/>
              </w:rPr>
            </w:pPr>
          </w:p>
        </w:tc>
      </w:tr>
      <w:tr>
        <w:trPr>
          <w:trHeight w:val="170"/>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Other (expense) income:</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Interest expense, net</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Equity in income of unconsolidated affiliates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Miscellaneous, net</w:t>
            </w: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60"/>
        </w:trPr>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Total other (expense) income</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Income from operations before provision for income taxes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396.1</w:t>
            </w:r>
          </w:p>
        </w:tc>
        <w:tc>
          <w:tcPr>
            <w:tcW w:w="0" w:type="dxa"/>
            <w:vAlign w:val="bottom"/>
          </w:tcPr>
          <w:p>
            <w:pPr>
              <w:spacing w:after="0"/>
              <w:rPr>
                <w:sz w:val="1"/>
                <w:szCs w:val="1"/>
                <w:color w:val="auto"/>
              </w:rPr>
            </w:pPr>
          </w:p>
        </w:tc>
      </w:tr>
      <w:tr>
        <w:trPr>
          <w:trHeight w:val="170"/>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Income tax provision</w:t>
            </w: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(93.1)</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0" w:type="dxa"/>
            <w:vAlign w:val="bottom"/>
          </w:tcPr>
          <w:p>
            <w:pPr>
              <w:spacing w:after="0"/>
              <w:rPr>
                <w:sz w:val="1"/>
                <w:szCs w:val="1"/>
                <w:color w:val="auto"/>
              </w:rPr>
            </w:pPr>
          </w:p>
        </w:tc>
      </w:tr>
      <w:tr>
        <w:trPr>
          <w:trHeight w:val="160"/>
        </w:trPr>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Net income</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290.6</w:t>
            </w:r>
          </w:p>
        </w:tc>
        <w:tc>
          <w:tcPr>
            <w:tcW w:w="0" w:type="dxa"/>
            <w:vAlign w:val="bottom"/>
          </w:tcPr>
          <w:p>
            <w:pPr>
              <w:spacing w:after="0"/>
              <w:rPr>
                <w:sz w:val="1"/>
                <w:szCs w:val="1"/>
                <w:color w:val="auto"/>
              </w:rPr>
            </w:pPr>
          </w:p>
        </w:tc>
      </w:tr>
      <w:tr>
        <w:trPr>
          <w:trHeight w:val="17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63"/>
        </w:trPr>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Net income attributable to Churchill Downs Incorporated</w:t>
            </w:r>
          </w:p>
        </w:tc>
        <w:tc>
          <w:tcPr>
            <w:tcW w:w="1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216.9</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209.3</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289.7</w:t>
            </w:r>
          </w:p>
        </w:tc>
        <w:tc>
          <w:tcPr>
            <w:tcW w:w="0" w:type="dxa"/>
            <w:vAlign w:val="bottom"/>
          </w:tcPr>
          <w:p>
            <w:pPr>
              <w:spacing w:after="0"/>
              <w:rPr>
                <w:sz w:val="1"/>
                <w:szCs w:val="1"/>
                <w:color w:val="auto"/>
              </w:rPr>
            </w:pPr>
          </w:p>
        </w:tc>
      </w:tr>
      <w:tr>
        <w:trPr>
          <w:trHeight w:val="20"/>
        </w:trPr>
        <w:tc>
          <w:tcPr>
            <w:tcW w:w="518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26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Net income attributable to Churchill Downs Incorporated per common share data:</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94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Basic net income</w:t>
            </w:r>
          </w:p>
        </w:tc>
        <w:tc>
          <w:tcPr>
            <w:tcW w:w="12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80" w:type="dxa"/>
            <w:vAlign w:val="bottom"/>
          </w:tcPr>
          <w:p>
            <w:pPr>
              <w:spacing w:after="0"/>
              <w:rPr>
                <w:sz w:val="15"/>
                <w:szCs w:val="15"/>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0" w:type="dxa"/>
            <w:vAlign w:val="bottom"/>
          </w:tcPr>
          <w:p>
            <w:pPr>
              <w:spacing w:after="0"/>
              <w:rPr>
                <w:sz w:val="1"/>
                <w:szCs w:val="1"/>
                <w:color w:val="auto"/>
              </w:rPr>
            </w:pPr>
          </w:p>
        </w:tc>
      </w:tr>
      <w:tr>
        <w:trPr>
          <w:trHeight w:val="20"/>
        </w:trPr>
        <w:tc>
          <w:tcPr>
            <w:tcW w:w="39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4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Diluted net income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80" w:type="dxa"/>
            <w:vAlign w:val="bottom"/>
          </w:tcPr>
          <w:p>
            <w:pPr>
              <w:spacing w:after="0"/>
              <w:rPr>
                <w:sz w:val="15"/>
                <w:szCs w:val="15"/>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Weighted average shares outstanding:</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40" w:type="dxa"/>
            <w:vAlign w:val="bottom"/>
            <w:gridSpan w:val="2"/>
            <w:vMerge w:val="continue"/>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6"/>
              </w:rPr>
              <w:t>Basic</w:t>
            </w:r>
          </w:p>
        </w:tc>
        <w:tc>
          <w:tcPr>
            <w:tcW w:w="3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0" w:type="dxa"/>
            <w:vAlign w:val="bottom"/>
          </w:tcPr>
          <w:p>
            <w:pPr>
              <w:spacing w:after="0"/>
              <w:rPr>
                <w:sz w:val="1"/>
                <w:szCs w:val="1"/>
                <w:color w:val="auto"/>
              </w:rPr>
            </w:pPr>
          </w:p>
        </w:tc>
      </w:tr>
      <w:tr>
        <w:trPr>
          <w:trHeight w:val="170"/>
        </w:trPr>
        <w:tc>
          <w:tcPr>
            <w:tcW w:w="39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Diluted</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109220</wp:posOffset>
            </wp:positionV>
            <wp:extent cx="71278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802" w:right="4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20" w:type="dxa"/>
            <w:vAlign w:val="bottom"/>
          </w:tcPr>
          <w:p>
            <w:pPr>
              <w:spacing w:after="0"/>
              <w:rPr>
                <w:sz w:val="16"/>
                <w:szCs w:val="16"/>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170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57"/>
        </w:trPr>
        <w:tc>
          <w:tcPr>
            <w:tcW w:w="7260" w:type="dxa"/>
            <w:vAlign w:val="bottom"/>
          </w:tcPr>
          <w:p>
            <w:pPr>
              <w:ind w:left="3360"/>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 net</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taxes receivable</w:t>
            </w:r>
          </w:p>
        </w:tc>
        <w:tc>
          <w:tcPr>
            <w:tcW w:w="320" w:type="dxa"/>
            <w:vAlign w:val="bottom"/>
          </w:tcPr>
          <w:p>
            <w:pPr>
              <w:spacing w:after="0"/>
              <w:rPr>
                <w:sz w:val="15"/>
                <w:szCs w:val="15"/>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4"/>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current assets</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167"/>
        </w:trPr>
        <w:tc>
          <w:tcPr>
            <w:tcW w:w="72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2,874.9</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 and advances to unconsolidated affiliates</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661.2</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2,409.0</w:t>
            </w:r>
          </w:p>
        </w:tc>
        <w:tc>
          <w:tcPr>
            <w:tcW w:w="0" w:type="dxa"/>
            <w:vAlign w:val="bottom"/>
          </w:tcPr>
          <w:p>
            <w:pPr>
              <w:spacing w:after="0"/>
              <w:rPr>
                <w:sz w:val="1"/>
                <w:szCs w:val="1"/>
                <w:color w:val="auto"/>
              </w:rPr>
            </w:pPr>
          </w:p>
        </w:tc>
      </w:t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71"/>
        </w:trPr>
        <w:tc>
          <w:tcPr>
            <w:tcW w:w="7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7,375.7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7,275.9</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7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taxes payable</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deferred revenue</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184"/>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Dividends payable</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67"/>
        </w:trPr>
        <w:tc>
          <w:tcPr>
            <w:tcW w:w="7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729.3</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net of current maturities and loan origination fees</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1,767.9</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net of debt issuance costs</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3,076.2</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Non-current deferred revenue</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0" w:type="dxa"/>
            <w:vAlign w:val="bottom"/>
          </w:tcPr>
          <w:p>
            <w:pPr>
              <w:spacing w:after="0"/>
              <w:rPr>
                <w:sz w:val="1"/>
                <w:szCs w:val="1"/>
                <w:color w:val="auto"/>
              </w:rPr>
            </w:pPr>
          </w:p>
        </w:tc>
      </w:t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167"/>
        </w:trPr>
        <w:tc>
          <w:tcPr>
            <w:tcW w:w="72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6,172.6</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80"/>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Preferred stock</w:t>
            </w:r>
          </w:p>
        </w:tc>
        <w:tc>
          <w:tcPr>
            <w:tcW w:w="320" w:type="dxa"/>
            <w:vAlign w:val="bottom"/>
          </w:tcPr>
          <w:p>
            <w:pPr>
              <w:spacing w:after="0"/>
              <w:rPr>
                <w:sz w:val="15"/>
                <w:szCs w:val="15"/>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15"/>
                <w:szCs w:val="15"/>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1,084.6</w:t>
            </w:r>
          </w:p>
        </w:tc>
        <w:tc>
          <w:tcPr>
            <w:tcW w:w="0" w:type="dxa"/>
            <w:vAlign w:val="bottom"/>
          </w:tcPr>
          <w:p>
            <w:pPr>
              <w:spacing w:after="0"/>
              <w:rPr>
                <w:sz w:val="1"/>
                <w:szCs w:val="1"/>
                <w:color w:val="auto"/>
              </w:rPr>
            </w:pPr>
          </w:p>
        </w:tc>
      </w:tr>
      <w:tr>
        <w:trPr>
          <w:trHeight w:val="184"/>
        </w:trPr>
        <w:tc>
          <w:tcPr>
            <w:tcW w:w="7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72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Churchill Downs Incorporated shareholders' equity</w:t>
            </w: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1,083.6</w:t>
            </w:r>
          </w:p>
        </w:tc>
        <w:tc>
          <w:tcPr>
            <w:tcW w:w="0" w:type="dxa"/>
            <w:vAlign w:val="bottom"/>
          </w:tcPr>
          <w:p>
            <w:pPr>
              <w:spacing w:after="0"/>
              <w:rPr>
                <w:sz w:val="1"/>
                <w:szCs w:val="1"/>
                <w:color w:val="auto"/>
              </w:rPr>
            </w:pPr>
          </w:p>
        </w:tc>
      </w:tr>
      <w:tr>
        <w:trPr>
          <w:trHeight w:val="288"/>
        </w:trPr>
        <w:tc>
          <w:tcPr>
            <w:tcW w:w="72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7,375.7</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7,275.9</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109220</wp:posOffset>
            </wp:positionV>
            <wp:extent cx="712787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100965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632" w:right="3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2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020" w:type="dxa"/>
            <w:vAlign w:val="bottom"/>
          </w:tcPr>
          <w:p>
            <w:pPr>
              <w:spacing w:after="0"/>
              <w:rPr>
                <w:sz w:val="9"/>
                <w:szCs w:val="9"/>
                <w:color w:val="auto"/>
              </w:rPr>
            </w:pPr>
          </w:p>
        </w:tc>
        <w:tc>
          <w:tcPr>
            <w:tcW w:w="15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1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jc w:val="right"/>
              <w:spacing w:after="0" w:line="112"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gridSpan w:val="2"/>
          </w:tcPr>
          <w:p>
            <w:pPr>
              <w:jc w:val="center"/>
              <w:ind w:right="300"/>
              <w:spacing w:after="0" w:line="112"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Total Shareholders' Equity</w:t>
            </w:r>
          </w:p>
        </w:tc>
        <w:tc>
          <w:tcPr>
            <w:tcW w:w="0" w:type="dxa"/>
            <w:vAlign w:val="bottom"/>
          </w:tcPr>
          <w:p>
            <w:pPr>
              <w:spacing w:after="0"/>
              <w:rPr>
                <w:sz w:val="1"/>
                <w:szCs w:val="1"/>
                <w:color w:val="auto"/>
              </w:rPr>
            </w:pPr>
          </w:p>
        </w:tc>
      </w:tr>
      <w:tr>
        <w:trPr>
          <w:trHeight w:val="167"/>
        </w:trPr>
        <w:tc>
          <w:tcPr>
            <w:tcW w:w="30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58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80" w:type="dxa"/>
            <w:vAlign w:val="bottom"/>
          </w:tcPr>
          <w:p>
            <w:pPr>
              <w:spacing w:after="0"/>
              <w:rPr>
                <w:sz w:val="13"/>
                <w:szCs w:val="13"/>
                <w:color w:val="auto"/>
              </w:rPr>
            </w:pPr>
          </w:p>
        </w:tc>
        <w:tc>
          <w:tcPr>
            <w:tcW w:w="1100" w:type="dxa"/>
            <w:vAlign w:val="bottom"/>
            <w:tcBorders>
              <w:top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20" w:type="dxa"/>
            <w:vAlign w:val="bottom"/>
            <w:tcBorders>
              <w:top w:val="single" w:sz="8" w:color="auto"/>
            </w:tcBorders>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1,084.6</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3"/>
                <w:szCs w:val="13"/>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1,083.6</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Churchill Downs Incorporated</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w w:val="99"/>
              </w:rPr>
              <w:t>Taxes paid related to net share settlement of stock awards</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0"/>
        </w:trPr>
        <w:tc>
          <w:tcPr>
            <w:tcW w:w="3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March 31, 2025</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7"/>
              </w:rPr>
              <w:t>1,072.7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1,071.7</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Churchill Downs Incorporated</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216.9</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(250.4)</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w w:val="99"/>
              </w:rPr>
              <w:t>Taxes paid related to net share settlement of stock awards</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72"/>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3"/>
        </w:trPr>
        <w:tc>
          <w:tcPr>
            <w:tcW w:w="3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June 30, 2025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1,042.6</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1,041.6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3666490</wp:posOffset>
            </wp:positionV>
            <wp:extent cx="712787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100965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40"/>
          </w:cols>
          <w:pgMar w:left="480" w:top="887" w:right="47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6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160" w:type="dxa"/>
            <w:vAlign w:val="bottom"/>
          </w:tcPr>
          <w:p>
            <w:pPr>
              <w:spacing w:after="0"/>
              <w:rPr>
                <w:sz w:val="9"/>
                <w:szCs w:val="9"/>
                <w:color w:val="auto"/>
              </w:rPr>
            </w:pPr>
          </w:p>
        </w:tc>
        <w:tc>
          <w:tcPr>
            <w:tcW w:w="16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100" w:type="dxa"/>
            <w:vAlign w:val="bottom"/>
            <w:vMerge w:val="restart"/>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spacing w:after="0" w:line="112"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gridSpan w:val="2"/>
          </w:tcPr>
          <w:p>
            <w:pPr>
              <w:jc w:val="center"/>
              <w:ind w:right="260"/>
              <w:spacing w:after="0" w:line="112"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Total Shareholders' Equity</w:t>
            </w:r>
          </w:p>
        </w:tc>
        <w:tc>
          <w:tcPr>
            <w:tcW w:w="0" w:type="dxa"/>
            <w:vAlign w:val="bottom"/>
          </w:tcPr>
          <w:p>
            <w:pPr>
              <w:spacing w:after="0"/>
              <w:rPr>
                <w:sz w:val="1"/>
                <w:szCs w:val="1"/>
                <w:color w:val="auto"/>
              </w:rPr>
            </w:pPr>
          </w:p>
        </w:tc>
      </w:tr>
      <w:tr>
        <w:trPr>
          <w:trHeight w:val="167"/>
        </w:trPr>
        <w:tc>
          <w:tcPr>
            <w:tcW w:w="31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60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100" w:type="dxa"/>
            <w:vAlign w:val="bottom"/>
          </w:tcPr>
          <w:p>
            <w:pPr>
              <w:spacing w:after="0"/>
              <w:rPr>
                <w:sz w:val="13"/>
                <w:szCs w:val="13"/>
                <w:color w:val="auto"/>
              </w:rPr>
            </w:pPr>
          </w:p>
        </w:tc>
        <w:tc>
          <w:tcPr>
            <w:tcW w:w="1100" w:type="dxa"/>
            <w:vAlign w:val="bottom"/>
            <w:tcBorders>
              <w:top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tcBorders>
              <w:top w:val="single" w:sz="8" w:color="auto"/>
            </w:tcBorders>
          </w:tcPr>
          <w:p>
            <w:pPr>
              <w:jc w:val="right"/>
              <w:ind w:right="898"/>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894.5</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893.6</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Churchill Downs Incorporated</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Taxes paid related to net share settlement of stock awards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0"/>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March 31,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826.9</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Churchill Downs Incorporated</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209.3</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Taxes paid related to net share settlement of stock awards</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72"/>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3"/>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June 30,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1,031.9</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1,030.9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271145</wp:posOffset>
            </wp:positionV>
            <wp:extent cx="712787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100965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440" w:top="887"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200" w:type="dxa"/>
            <w:vAlign w:val="bottom"/>
            <w:tcBorders>
              <w:bottom w:val="single" w:sz="8" w:color="auto"/>
            </w:tcBorders>
          </w:tcPr>
          <w:p>
            <w:pPr>
              <w:spacing w:after="0"/>
              <w:rPr>
                <w:sz w:val="15"/>
                <w:szCs w:val="15"/>
                <w:color w:val="auto"/>
              </w:rPr>
            </w:pPr>
          </w:p>
        </w:tc>
      </w:tr>
      <w:tr>
        <w:trPr>
          <w:trHeight w:val="178"/>
        </w:trPr>
        <w:tc>
          <w:tcPr>
            <w:tcW w:w="71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7"/>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4"/>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48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294.8</w:t>
            </w:r>
          </w:p>
        </w:tc>
        <w:tc>
          <w:tcPr>
            <w:tcW w:w="120" w:type="dxa"/>
            <w:vAlign w:val="bottom"/>
          </w:tcPr>
          <w:p>
            <w:pPr>
              <w:spacing w:after="0"/>
              <w:rPr>
                <w:sz w:val="15"/>
                <w:szCs w:val="15"/>
                <w:color w:val="auto"/>
              </w:rPr>
            </w:pPr>
          </w:p>
        </w:tc>
        <w:tc>
          <w:tcPr>
            <w:tcW w:w="780" w:type="dxa"/>
            <w:vAlign w:val="bottom"/>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290.6</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from unconsolidated affiliates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Equity in income of unconsolidated affiliates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Asset impairments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operating lease assets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80"/>
        </w:trPr>
        <w:tc>
          <w:tcPr>
            <w:tcW w:w="7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w:t>
            </w: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revenue</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r>
      <w:tr>
        <w:trPr>
          <w:trHeight w:val="184"/>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assets and liabilities</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w:t>
            </w:r>
          </w:p>
        </w:tc>
      </w:tr>
      <w:tr>
        <w:trPr>
          <w:trHeight w:val="174"/>
        </w:trPr>
        <w:tc>
          <w:tcPr>
            <w:tcW w:w="71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486.1</w:t>
            </w: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471.7</w:t>
            </w:r>
          </w:p>
        </w:tc>
      </w:tr>
      <w:tr>
        <w:trPr>
          <w:trHeight w:val="15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7"/>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maintenance expenditures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project expenditures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(257.2)</w:t>
            </w:r>
          </w:p>
        </w:tc>
      </w:tr>
      <w:tr>
        <w:trPr>
          <w:trHeight w:val="184"/>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4"/>
        </w:trPr>
        <w:tc>
          <w:tcPr>
            <w:tcW w:w="71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(166.1)</w:t>
            </w: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(290.1)</w:t>
            </w:r>
          </w:p>
        </w:tc>
      </w:tr>
      <w:tr>
        <w:trPr>
          <w:trHeight w:val="15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7"/>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borrowings under long-term debt obligations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641.5</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617.4</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Repayments of borrowings under long-term debt obligations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(546.7)</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(598.3)</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 of dividends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(340.9)</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Taxes paid related to net share settlement of stock awards</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 in bank overdraft</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84"/>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4"/>
        </w:trPr>
        <w:tc>
          <w:tcPr>
            <w:tcW w:w="71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(287.1)</w:t>
            </w: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(173.5)</w:t>
            </w:r>
          </w:p>
        </w:tc>
      </w:tr>
      <w:tr>
        <w:trPr>
          <w:trHeight w:val="15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discontinued operations:</w:t>
            </w: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activities of discontinued operations</w:t>
            </w:r>
          </w:p>
        </w:tc>
        <w:tc>
          <w:tcPr>
            <w:tcW w:w="480" w:type="dxa"/>
            <w:vAlign w:val="bottom"/>
          </w:tcPr>
          <w:p>
            <w:pPr>
              <w:spacing w:after="0"/>
              <w:rPr>
                <w:sz w:val="15"/>
                <w:szCs w:val="15"/>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4"/>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4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7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252.7</w:t>
            </w: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221.8</w:t>
            </w:r>
          </w:p>
        </w:tc>
      </w:tr>
      <w:tr>
        <w:trPr>
          <w:trHeight w:val="177"/>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4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285.6</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230.9</w:t>
            </w:r>
          </w:p>
        </w:tc>
      </w:tr>
      <w:tr>
        <w:trPr>
          <w:trHeight w:val="20"/>
        </w:trPr>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12787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100965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180" w:type="dxa"/>
            <w:vAlign w:val="bottom"/>
            <w:tcBorders>
              <w:bottom w:val="single" w:sz="8" w:color="auto"/>
            </w:tcBorders>
          </w:tcPr>
          <w:p>
            <w:pPr>
              <w:spacing w:after="0"/>
              <w:rPr>
                <w:sz w:val="16"/>
                <w:szCs w:val="16"/>
                <w:color w:val="auto"/>
              </w:rPr>
            </w:pPr>
          </w:p>
        </w:tc>
      </w:tr>
      <w:tr>
        <w:trPr>
          <w:trHeight w:val="175"/>
        </w:trPr>
        <w:tc>
          <w:tcPr>
            <w:tcW w:w="72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9"/>
        </w:trPr>
        <w:tc>
          <w:tcPr>
            <w:tcW w:w="722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7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for interest</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80" w:type="dxa"/>
            <w:vAlign w:val="bottom"/>
          </w:tcPr>
          <w:p>
            <w:pPr>
              <w:spacing w:after="0"/>
              <w:rPr>
                <w:sz w:val="15"/>
                <w:szCs w:val="15"/>
                <w:color w:val="auto"/>
              </w:rPr>
            </w:pPr>
          </w:p>
        </w:tc>
        <w:tc>
          <w:tcPr>
            <w:tcW w:w="8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r>
      <w:tr>
        <w:trPr>
          <w:trHeight w:val="180"/>
        </w:trPr>
        <w:tc>
          <w:tcPr>
            <w:tcW w:w="7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178"/>
        </w:trPr>
        <w:tc>
          <w:tcPr>
            <w:tcW w:w="7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received from income tax refunds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2"/>
        </w:trPr>
        <w:tc>
          <w:tcPr>
            <w:tcW w:w="7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Schedule of non-cash operating, investing and financing activities:</w:t>
            </w: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 additions included in accounts payable and accrued expenses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5"/>
                <w:szCs w:val="15"/>
                <w:color w:val="auto"/>
              </w:rPr>
            </w:pPr>
          </w:p>
        </w:tc>
        <w:tc>
          <w:tcPr>
            <w:tcW w:w="8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r>
      <w:tr>
        <w:trPr>
          <w:trHeight w:val="180"/>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 in operating leases</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 in finance leases</w:t>
            </w:r>
          </w:p>
        </w:tc>
        <w:tc>
          <w:tcPr>
            <w:tcW w:w="46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4"/>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 of common stock included in accrued expense and other current liabilities</w:t>
            </w: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bl>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712787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100965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DESCRIPTION OF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Churchill Downs Incorporated (the "Company" or "CDI") financial statements are presented in conformity with the requirements of this Quarterly Report on Form 10-Q and consequently do not include all of the disclosures normally required by U.S. generally accepted accounting principles ("GAAP") or those normally made in our Annual Report on Form 10-K. The December 31, 2024 Condensed Consolidated Balance Sheet data was derived from audited financial statements but does not include all disclosures required by GAAP.</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information is unaudited. All per share amounts assume dilution unless otherwise noted. This report should be read in conjunction with our Annual Report on Form 10-K for the year ended December 31, 2024.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opinion of management, all adjustments necessary for a fair statement of this information have been made, and all such adjustments are of a normal, recurring nature.</w:t>
      </w:r>
    </w:p>
    <w:p>
      <w:pPr>
        <w:spacing w:after="0" w:line="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April 2024, the Company closed on the sale of 49% of the United Tote Company ("United Tote"), a wholly-owned subsidiary of CDI, to NYRA Content Management Solutions, LLC ("NYRA"), a subsidiary of the New York Racing Association, Inc. Refer to Note 10, Redeemable Noncontrolling Interest, for further information on the transaction.</w:t>
      </w:r>
    </w:p>
    <w:p>
      <w:pPr>
        <w:spacing w:after="0" w:line="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conduct our business through three reportable segments: Live and Historical Racing, Wagering Services and Solutions, and Gaming. The Wagering Services and Solutions segment was previously known as the TwinSpires segment. We aggregate our other businesses as well as certain corporate operations in All Other. We report net revenue and operating expense associated with these reportable segments in the accompanying Condensed Consolidated Statements of Comprehensive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RECENT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 effective in 2025 or thereafter</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October 2023, the Financial Accounting Standards Board ("FASB") issued Accounting Standards Update ("ASU") 2023-06, Disclosure Improvements: Codification Amendments in Response to the Securities and Exchange Commission’s ("SEC") Disclosure Update and Simplification Initiative, to amend certain disclosure and presentation requirements for a variety of topics within FASB's Accounting Standards Codification ("ASC"). These amendments align the requirements in the ASC regarding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 impact of this standard on the consolidated financial statements and related disclosures.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is intended to enhance the transparency and decision usefulness of income tax disclosures. The amendments address investor requests for enhanced income tax information primarily through changes to the rate reconciliation and income taxes paid information. Early adoption is permitted. The additional disclosure requirements from this ASU will be incorporated into the Company's 2025 Annual Report on Form 10-K. The Company is currently evaluating the impact of this standard on the consolidated financial statements and related disclosures.</w:t>
      </w:r>
    </w:p>
    <w:p>
      <w:pPr>
        <w:spacing w:after="0" w:line="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November 2024, FASB issued ASU 2024-03, Income Statement—Reporting Comprehensive Income—Expense Disaggregation Disclosures (Subtopic 220-40): Disaggregation of Income Statement Expenses. Under ASU 2024-03, a public entity would be required to disclose information about purchases of inventory, employee compensation, depreciation, intangible asset amortization, and depletion for each income statement line item that contains those expenses. This standard is effective for annual reporting periods beginning after December 15, 2026 and interim reporting periods beginning after December 15, 2027. Early adoption is permitted. The Company is currently assessing the impact of this standard on the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356235</wp:posOffset>
            </wp:positionV>
            <wp:extent cx="712787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GOODWILL AND OTHER INTANGIBLE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Goodwill was $900.2 million as of June 30, 2025 and December 31, 2024.</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performed our annual goodwill impairment analysis as of April 1, 2025, and no adjustment to the carrying value of goodwill was required. We assessed goodwill for impairment by performing qualitative or quantitative analyses for each reporting unit. We concluded that the fair values of our reporting units exceeded their carrying values, and therefore no impairments were identified.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intangible assets are comprised of the following:</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29"/>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30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080" w:type="dxa"/>
            <w:vAlign w:val="bottom"/>
          </w:tcPr>
          <w:p>
            <w:pPr>
              <w:jc w:val="right"/>
              <w:ind w:right="149"/>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3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00" w:type="dxa"/>
            <w:vAlign w:val="bottom"/>
          </w:tcPr>
          <w:p>
            <w:pPr>
              <w:jc w:val="right"/>
              <w:ind w:right="149"/>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86"/>
        </w:trPr>
        <w:tc>
          <w:tcPr>
            <w:tcW w:w="29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1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2"/>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Definite-lived intangible assets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w:t>
            </w:r>
          </w:p>
        </w:tc>
      </w:tr>
      <w:tr>
        <w:trPr>
          <w:trHeight w:val="184"/>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Indefinite-lived intangible assets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2,347.3</w:t>
            </w:r>
          </w:p>
        </w:tc>
      </w:tr>
      <w:tr>
        <w:trPr>
          <w:trHeight w:val="171"/>
        </w:trPr>
        <w:tc>
          <w:tcPr>
            <w:tcW w:w="2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2,409.0</w:t>
            </w: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continuing to monitor the current economic conditions and the impacts on the results of operations of Presque Isle Downs and Casino due to historical impairments recorded in prior periods related to the gaming rights and trademark. Future economic conditions could have a negative impact on the estimates and assumptions utilized in our asset impairment assessments. These potential impacts could increase the risk of a future impairment of assets at Presque Isle.</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performed our annual indefinite-lived intangible assets impairment analysis as of April 1, 2025. We assessed our indefinite-lived intangible assets for impairment by performing qualitative or quantitative analyses for each asset. Based on the results of these analyses, no indefinite-lived intangible asset impairments were identified in connection with our annual impairment testing.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INCOME TAXES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effective income tax rates of 25.5% and 28.6% for the three months ended June 30, 2025 and June 30, 2024, respectively, were higher than the U.S. federal statutory rate of 21.0% primarily resulting from state income taxes and non-deductible officer’s compensation. The Company’s effective income tax rates of 24.0% and 26.6% for the six months ended June 30, 2025 and June 30, 2024, respectively, were higher than the U.S. federal statutory rate of 21.0% primarily resulting from state income taxes and non-deductible officer’s compensation, partially offset by tax benefits from the remeasurement of deferred income tax liabilities, as a result of certain entity classification elections that were made in the first quarters of 2025 and 2024, which decreased income attributable to states with higher tax rates compared to prior year.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SHAREHOLDERS'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Programs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March 12, 2025, the Board of Directors of the Company approved a new common stock repurchase program of up to $500.0 million (the "2025 Stock Repurchase Program"). The 2025 Stock Repurchase Program includes and is not in addition to the $125.6 million remaining under the 2021 Stock Repurchase Program. Share repurchases may be made at management's discretion from time to time in the open market (either with or without a 10b5-1 plan) or through privately negotiated transactions. The repurchase program has no time limit and may be suspended or discontinued at any time. We had approximately $184.2 million of repurchase authority remaining under the 2025 Stock Repurchase Program at June 30, 2025, based on trade date. See Note 16, "Subsequent Events", for information on an updated stock repurchase program approved by the Board of Directors in July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248285</wp:posOffset>
            </wp:positionV>
            <wp:extent cx="712787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During the three and six months ended March 31, 2025 and 2024, we repurchased the following shares under our stock repurchase programs: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3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(in millions, except share data)</w:t>
            </w: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0" w:type="dxa"/>
            <w:vAlign w:val="bottom"/>
          </w:tcPr>
          <w:p>
            <w:pPr>
              <w:spacing w:after="0"/>
              <w:rPr>
                <w:sz w:val="14"/>
                <w:szCs w:val="1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29"/>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92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1000" w:type="dxa"/>
            <w:vAlign w:val="bottom"/>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1"/>
                <w:szCs w:val="11"/>
                <w:color w:val="auto"/>
              </w:rPr>
            </w:pPr>
          </w:p>
        </w:tc>
        <w:tc>
          <w:tcPr>
            <w:tcW w:w="8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980" w:type="dxa"/>
            <w:vAlign w:val="bottom"/>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1"/>
                <w:szCs w:val="11"/>
                <w:color w:val="auto"/>
              </w:rPr>
            </w:pPr>
          </w:p>
        </w:tc>
        <w:tc>
          <w:tcPr>
            <w:tcW w:w="94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00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1"/>
                <w:szCs w:val="11"/>
                <w:color w:val="auto"/>
              </w:rPr>
            </w:pPr>
          </w:p>
        </w:tc>
        <w:tc>
          <w:tcPr>
            <w:tcW w:w="8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980" w:type="dxa"/>
            <w:vAlign w:val="bottom"/>
          </w:tcPr>
          <w:p>
            <w:pPr>
              <w:jc w:val="right"/>
              <w:ind w:right="149"/>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1"/>
        </w:trPr>
        <w:tc>
          <w:tcPr>
            <w:tcW w:w="31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7"/>
              </w:rPr>
              <w:t>Purchase Price</w:t>
            </w:r>
          </w:p>
        </w:tc>
        <w:tc>
          <w:tcPr>
            <w:tcW w:w="0" w:type="dxa"/>
            <w:vAlign w:val="bottom"/>
          </w:tcPr>
          <w:p>
            <w:pPr>
              <w:spacing w:after="0"/>
              <w:rPr>
                <w:sz w:val="1"/>
                <w:szCs w:val="1"/>
                <w:color w:val="auto"/>
              </w:rPr>
            </w:pPr>
          </w:p>
        </w:tc>
      </w:tr>
      <w:tr>
        <w:trPr>
          <w:trHeight w:val="167"/>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 Stock Repurchase Program</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2,565,964</w:t>
            </w:r>
          </w:p>
        </w:tc>
        <w:tc>
          <w:tcPr>
            <w:tcW w:w="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60" w:type="dxa"/>
            <w:vAlign w:val="bottom"/>
          </w:tcPr>
          <w:p>
            <w:pPr>
              <w:spacing w:after="0"/>
              <w:rPr>
                <w:sz w:val="14"/>
                <w:szCs w:val="14"/>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3,152,202</w:t>
            </w:r>
          </w:p>
        </w:tc>
        <w:tc>
          <w:tcPr>
            <w:tcW w:w="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315.8</w:t>
            </w:r>
          </w:p>
        </w:tc>
        <w:tc>
          <w:tcPr>
            <w:tcW w:w="80" w:type="dxa"/>
            <w:vAlign w:val="bottom"/>
          </w:tcPr>
          <w:p>
            <w:pPr>
              <w:spacing w:after="0"/>
              <w:rPr>
                <w:sz w:val="14"/>
                <w:szCs w:val="14"/>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2021 Stock Repurchase Program</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93,874</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212,012</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278,695</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7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2,565,964</w:t>
            </w: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93,874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3,364,214</w:t>
            </w: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339.8</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278,695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Duchossois Group Share Repurchase</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2, 2024, the Company closed on an agreement, dated December 18, 2023, with an affiliate of The Duchossois Group ("TDG") to repurchase 1,000,000 shares of the Company’s common stock, for $123.75 per share in a privately negotiated transaction for an aggregate purchase price of $123.8 million. This represented a discount of 4.03% to the closing price on December 15, 2023 of $128.95. The repurchase of shares of common stock from TDG was approved by the Company's Board of Directors separately from and did not reduce the authorized amount remaining under any existing common stock repurchase programs. The repurchase of the shares was funded using available cash and borrowings under the Company’s senior secured credit facility.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2025 and December 31, 2024, we had $1.9 million and $3.0 million, respectively, accrued for the future cash settlement of executed repurchases of our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STOCK-BASED COMPENSATION PLANS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February 18, 2025, our Board of Directors approved the replacement of the Churchill Downs Incorporated 2016 Omnibus Stock Incentive Plan (the "2016 Plan") with a new plan, the Churchill Downs Incorporated 2025 Omnibus Stock and Incentive Plan (the "2025 Plan"). The 2025 Plan was approved by shareholders at the Company's 2025 Annual Meeting of Shareholders held on April 22, 2025, and no further awards will be granted under the 2016 Plan. We have stock-based employee compensation plans with awards outstanding under the 2016 Plan, the 2025 Plan, and the Executive Long-Term Incentive Compensation Plan, which was adopted pursuant to the 2016 Plan. Our total stock-based compensation expense, which includes expenses related to restricted stock awards ("RSAs"), restricted stock unit awards ("RSUs"), performance share unit awards ("PSUs"), and stock options associated with our employee stock purchase plan was $7.2 million and $10.8 million for the three months and six months ended June 30, 2025 and $8.9 million and $16.1 million for the three months and six months ended June 30, 2024, respectively. At June 30, 2025 and December 31, 2024, the Company had $9.5 million and $25.0 million, respectively, recorded as liability-classified awards, which are included in accrued expense and other liabilities in the accompanying Condensed Consolidated Balance Sheets.</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six months ended June 30, 2025, the Company awarded RSUs to employees, as well as RSUs and PSUs to certain named executive officers ("NEOs"), and RSAs and RSUs to directors. The vesting criteria for the PSU awards granted in 2025 were based on a three-year service period with two performance conditions and a market condition related to relative total shareholder return ("TSR") consistent with prior year grants. The total compensation cost we will recognize under the PSUs is determined using the Monte Carlo valuation methodology, which factors in the value of the TSR market condition when determining the grant date fair value of the PSU. Compensation cost for each PSU is recognized during the performance and service period based on the probable achievement of the two performance criteria. The PSUs can be converted into shares of our common stock at the time the PSU award value is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248285</wp:posOffset>
            </wp:positionV>
            <wp:extent cx="712787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80" w:type="dxa"/>
            <w:vAlign w:val="bottom"/>
            <w:gridSpan w:val="4"/>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tc>
      </w:tr>
      <w:tr>
        <w:trPr>
          <w:trHeight w:val="186"/>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80" w:type="dxa"/>
            <w:vAlign w:val="bottom"/>
            <w:gridSpan w:val="4"/>
          </w:tcPr>
          <w:p>
            <w:pPr>
              <w:jc w:val="center"/>
              <w:ind w:right="32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tc>
      </w:tr>
      <w:tr>
        <w:trPr>
          <w:trHeight w:val="168"/>
        </w:trPr>
        <w:tc>
          <w:tcPr>
            <w:tcW w:w="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160" w:type="dxa"/>
            <w:vAlign w:val="bottom"/>
            <w:tcBorders>
              <w:bottom w:val="single" w:sz="8" w:color="auto"/>
            </w:tcBorders>
            <w:gridSpan w:val="2"/>
          </w:tcPr>
          <w:p>
            <w:pPr>
              <w:jc w:val="center"/>
              <w:ind w:right="5100"/>
              <w:spacing w:after="0"/>
              <w:rPr>
                <w:sz w:val="20"/>
                <w:szCs w:val="20"/>
                <w:color w:val="auto"/>
              </w:rPr>
            </w:pPr>
            <w:r>
              <w:rPr>
                <w:rFonts w:ascii="Times New Roman" w:cs="Times New Roman" w:eastAsia="Times New Roman" w:hAnsi="Times New Roman"/>
                <w:sz w:val="13"/>
                <w:szCs w:val="13"/>
                <w:color w:val="auto"/>
                <w:w w:val="98"/>
              </w:rPr>
              <w:t>(Unaudited)</w:t>
            </w:r>
          </w:p>
        </w:tc>
      </w:tr>
      <w:tr>
        <w:trPr>
          <w:trHeight w:val="533"/>
        </w:trPr>
        <w:tc>
          <w:tcPr>
            <w:tcW w:w="1128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A summary of the RSAs, RSUs and PSUs granted during 2025 is presented below (units in thousands):</w:t>
            </w:r>
          </w:p>
        </w:tc>
      </w:tr>
      <w:tr>
        <w:trPr>
          <w:trHeight w:val="202"/>
        </w:trPr>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Grant Year</w:t>
            </w:r>
          </w:p>
        </w:tc>
        <w:tc>
          <w:tcPr>
            <w:tcW w:w="8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 Type</w:t>
            </w:r>
          </w:p>
        </w:tc>
        <w:tc>
          <w:tcPr>
            <w:tcW w:w="80" w:type="dxa"/>
            <w:vAlign w:val="bottom"/>
          </w:tcPr>
          <w:p>
            <w:pPr>
              <w:spacing w:after="0"/>
              <w:rPr>
                <w:sz w:val="17"/>
                <w:szCs w:val="17"/>
                <w:color w:val="auto"/>
              </w:rPr>
            </w:pPr>
          </w:p>
        </w:tc>
        <w:tc>
          <w:tcPr>
            <w:tcW w:w="1840" w:type="dxa"/>
            <w:vAlign w:val="bottom"/>
            <w:tcBorders>
              <w:bottom w:val="single" w:sz="8" w:color="auto"/>
            </w:tcBorders>
          </w:tcPr>
          <w:p>
            <w:pPr>
              <w:ind w:left="80"/>
              <w:spacing w:after="0" w:line="202" w:lineRule="exact"/>
              <w:rPr>
                <w:sz w:val="20"/>
                <w:szCs w:val="20"/>
                <w:color w:val="auto"/>
              </w:rPr>
            </w:pPr>
            <w:r>
              <w:rPr>
                <w:rFonts w:ascii="Times New Roman" w:cs="Times New Roman" w:eastAsia="Times New Roman" w:hAnsi="Times New Roman"/>
                <w:sz w:val="14"/>
                <w:szCs w:val="14"/>
                <w:b w:val="1"/>
                <w:bCs w:val="1"/>
                <w:color w:val="auto"/>
              </w:rPr>
              <w:t>Number of Units Awarded</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7"/>
                <w:szCs w:val="17"/>
                <w:color w:val="auto"/>
              </w:rPr>
            </w:pPr>
          </w:p>
        </w:tc>
        <w:tc>
          <w:tcPr>
            <w:tcW w:w="614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4"/>
                <w:szCs w:val="14"/>
                <w:b w:val="1"/>
                <w:bCs w:val="1"/>
                <w:color w:val="auto"/>
              </w:rPr>
              <w:t>Vesting Terms</w:t>
            </w:r>
          </w:p>
        </w:tc>
        <w:tc>
          <w:tcPr>
            <w:tcW w:w="20" w:type="dxa"/>
            <w:vAlign w:val="bottom"/>
          </w:tcPr>
          <w:p>
            <w:pPr>
              <w:spacing w:after="0"/>
              <w:rPr>
                <w:sz w:val="17"/>
                <w:szCs w:val="17"/>
                <w:color w:val="auto"/>
              </w:rPr>
            </w:pPr>
          </w:p>
        </w:tc>
      </w:tr>
      <w:tr>
        <w:trPr>
          <w:trHeight w:val="199"/>
        </w:trPr>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RSU</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161</w:t>
            </w:r>
          </w:p>
        </w:tc>
        <w:tc>
          <w:tcPr>
            <w:tcW w:w="80" w:type="dxa"/>
            <w:vAlign w:val="bottom"/>
          </w:tcPr>
          <w:p>
            <w:pPr>
              <w:spacing w:after="0"/>
              <w:rPr>
                <w:sz w:val="17"/>
                <w:szCs w:val="17"/>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 equally over three service periods ending in 2027</w:t>
            </w:r>
          </w:p>
        </w:tc>
      </w:tr>
      <w:tr>
        <w:trPr>
          <w:trHeight w:val="180"/>
        </w:trPr>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PSU</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87</w:t>
            </w:r>
          </w:p>
        </w:tc>
        <w:tc>
          <w:tcPr>
            <w:tcW w:w="80" w:type="dxa"/>
            <w:vAlign w:val="bottom"/>
          </w:tcPr>
          <w:p>
            <w:pPr>
              <w:spacing w:after="0"/>
              <w:rPr>
                <w:sz w:val="15"/>
                <w:szCs w:val="15"/>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Three-year performance and service period ending in 2027</w:t>
            </w:r>
          </w:p>
        </w:tc>
      </w:tr>
      <w:tr>
        <w:trPr>
          <w:trHeight w:val="180"/>
        </w:trPr>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RSU</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80" w:type="dxa"/>
            <w:vAlign w:val="bottom"/>
          </w:tcPr>
          <w:p>
            <w:pPr>
              <w:spacing w:after="0"/>
              <w:rPr>
                <w:sz w:val="15"/>
                <w:szCs w:val="15"/>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One-year service period ending in 2025</w:t>
            </w:r>
          </w:p>
        </w:tc>
      </w:tr>
      <w:tr>
        <w:trPr>
          <w:trHeight w:val="184"/>
        </w:trPr>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RSA</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One-year service period ending in 2025</w:t>
            </w:r>
          </w:p>
        </w:tc>
      </w:tr>
    </w:tbl>
    <w:p>
      <w:pPr>
        <w:spacing w:after="0" w:line="133" w:lineRule="exact"/>
        <w:rPr>
          <w:sz w:val="20"/>
          <w:szCs w:val="20"/>
          <w:color w:val="auto"/>
        </w:rPr>
      </w:pPr>
    </w:p>
    <w:p>
      <w:pPr>
        <w:ind w:left="140" w:hanging="135"/>
        <w:spacing w:after="0"/>
        <w:tabs>
          <w:tab w:leader="none" w:pos="14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PSUs reflect the target number of units for the original PSU grant.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7. DEBT</w:t>
            </w: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55"/>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our total debt outstanding:</w:t>
            </w:r>
          </w:p>
        </w:tc>
        <w:tc>
          <w:tcPr>
            <w:tcW w:w="3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02"/>
        </w:trPr>
        <w:tc>
          <w:tcPr>
            <w:tcW w:w="7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40" w:type="dxa"/>
            <w:vAlign w:val="bottom"/>
          </w:tcPr>
          <w:p>
            <w:pPr>
              <w:spacing w:after="0"/>
              <w:rPr>
                <w:sz w:val="17"/>
                <w:szCs w:val="17"/>
                <w:color w:val="auto"/>
              </w:rPr>
            </w:pP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7"/>
                <w:szCs w:val="17"/>
                <w:color w:val="auto"/>
              </w:rPr>
            </w:pPr>
          </w:p>
        </w:tc>
        <w:tc>
          <w:tcPr>
            <w:tcW w:w="17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7"/>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B-1 due 2028</w:t>
            </w: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288.8</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A due 2029</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1,172.4</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Revolver</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Senior Notes</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242424"/>
              </w:rPr>
              <w:t>2030 Senior Notes</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r>
      <w:tr>
        <w:trPr>
          <w:trHeight w:val="184"/>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242424"/>
              </w:rPr>
              <w:t>2031 Senior Notes</w:t>
            </w: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67"/>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3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5,033.6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4,938.7</w:t>
            </w:r>
          </w:p>
        </w:tc>
      </w:tr>
      <w:tr>
        <w:trPr>
          <w:trHeight w:val="180"/>
        </w:trPr>
        <w:tc>
          <w:tcPr>
            <w:tcW w:w="7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r>
      <w:tr>
        <w:trPr>
          <w:trHeight w:val="184"/>
        </w:trPr>
        <w:tc>
          <w:tcPr>
            <w:tcW w:w="7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Unamortized premium and deferred finance charges</w:t>
            </w: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71"/>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 net of current maturities and costs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4,942.2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4,844.1</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June 30, 2025, the Company’s senior secured credit facility (as amended from time to time, the "Credit Agreement") consisted of a $1.2 billion revolving credit facility (the "Revolver"), $287.2 million senior secured term loan B-1 (the "Term Loan B-1"), $1.1 billion senior secured term loan A (the "Term Loan A"), and $100.0 million swing line commitment. On July 3, 2024, the Company closed an amendment of the Credit Agreement to (i) extend the maturity date of the Revolver and Term Loan A from 2027 to 2029 subject to an earlier "springing maturity" if certain indebtedness in respect of outstanding notes or other material indebtedness having a maturity date prior to July 3, 2029, is not refinanced or extended to a date after July 3, 2029, at least 91 days prior to such other debt’s stated maturity date, and (ii) amend certain other provisions of the Credit Agreement.</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14, 2025, the Company announced that it closed the seventh amendment of the Credit Agreement. The seventh amendment to the Credit Agreement (i) reduced the interest rate margin applicable to the Term Loan B-1 by 0.25% from Secured Overnight Financing Rate ("SOFR") plus 200 basis points to SOFR plus 175 basis points, (ii) eliminated the 0.10% credit spread adjustment previously applicable to the Term Loan B-1, and (iii) made certain other amendments to the Credit Agreement.</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Term Loan B-1 requires quarterly payments of 0.25% of the original $300.0 million balance and may be subject to additional mandatory prepayment from excess cash flow on an annual basis per the provisions of the Credit Agreement.</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Revolver and Term Loan A bear interest at SOFR plus 10 basis points, plus a variable applicable margin which is determined by the Company's net leverage ratio. As of June 30, 2025, that applicable margin was 150 basis points which was based on the pricing grid in the Credit Agreement. The Company had $686.9 million available borrowing capacity, after consideration of $9.1 million in outstanding letters of credit, under the Revolver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277495</wp:posOffset>
            </wp:positionV>
            <wp:extent cx="712787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required to pay a commitment fee on the unused portion of the Revolver as determined by a pricing grid based on the consolidated total net secured leverage ratio of the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period ended June 30, 2025, the Company's commitment fee rate was 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2027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2025, we had $600.0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Indenture.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Senior Notes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June 30, 2025, we had a total of $700.0 million in aggregate principal amount of 4.750% senior unsecured notes (the "2028 Senior Notes") maturing on January 15, 2028. The 2028 Senior Notes consist of $500.0 million notes issued at par and $200.0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the 2028 Senior Notes at redemption prices set forth in the Indenture.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2030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2025, we had $1.2 billion in aggregate principal amount of 5.750% senior unsecured notes that mature on April 13, 2030 (the "2030 Senior Notes"). The 2030 Senior Notes were issued at par in a private offering to qualified institutional buyers, with interest payable in arrears on April 1st and October 1st of each year, commencing on October 1st, 2022. The Company may redeem some or all the 2030 Senior Notes at redemption prices set forth in the Indenture.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2031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2025, we had $600.0 million in aggregate principal amount of 6.750% senior unsecured notes that mature on April 25, 2031 (the "2031 Senior Notes"). The 2031 Senior Notes were issued at par in a private offering to qualified institutional buyers, with interest payable in arrears on May 1st and November 1st of each year, commencing on November 1st, 2023. The Company may redeem some or all of the 2031 Senior Notes at redemption prices set forth in the Indenture.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REVENUE FROM CONTRACTS WITH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Obligations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2025, our Live and Historical Racing segment had remaining performance obligations on contracts with a duration greater than one year relating to television rights, sponsorships, personal seat licenses, and admissions, with an aggregate transaction price of $233.9 million. The revenue we expect to recognize on these remaining performance obligations is $1.8 million for the remainder of 2025, $66.9 million in 2026, $52.6 million in 2027, and the remainder thereafter.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2025, our remaining performance obligations on contracts with a duration greater than one year in segments other than Live and Historical Racing were not material.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Contract Liabilities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2025 and December 31, 2024, contract assets were not material.</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June 30, 2025 and December 31, 2024, contract liabilities were $44.8 million and $81.5 million, respectively, which are included in current deferred revenue, non-current deferred revenue, and accrued expense in the accompanying Condensed Consolidated Balance Sheets. Contract liabilities primarily relate to the Live and Historical Racing segment and the decrease was primarily due to the recognition of previously deferred revenue related to the 151st Kentucky Derby. We recognized $47.9 million and $53.9 million of revenue during the three months and six months ended June 30, 2025, respectively, which was included in the contract liabilities balance at December 31, 2024. We recognized $67.2 million and $73.0 million of revenue during the three months and six months ended June 30, 2024, respectively, which was included in the contract liabilities 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248285</wp:posOffset>
            </wp:positionV>
            <wp:extent cx="712787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included its disaggregated revenue disclosures as follows:</w:t>
      </w:r>
    </w:p>
    <w:p>
      <w:pPr>
        <w:spacing w:after="0" w:line="94" w:lineRule="exact"/>
        <w:rPr>
          <w:sz w:val="20"/>
          <w:szCs w:val="20"/>
          <w:color w:val="auto"/>
        </w:rPr>
      </w:pPr>
    </w:p>
    <w:p>
      <w:pPr>
        <w:jc w:val="both"/>
        <w:ind w:left="540" w:hanging="249"/>
        <w:spacing w:after="0" w:line="264" w:lineRule="auto"/>
        <w:tabs>
          <w:tab w:leader="none" w:pos="5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Live and Historical Racing segment, revenue is disaggregated between Churchill Downs Racetrack and historical racing properties given that Churchill Downs Racetrack revenue primarily revolves around live racing events, while our other Live and Historical Racing properties' revenues primarily revolve around historical racing. This segment is also disaggregated by location given the geographic economic factors that affect the revenue of service offerings. Within the Live and Historical Racing segment, revenue is further disaggregated between live and simulcast racing, historical racing, racing event-related services, gaming, and other services.</w:t>
      </w:r>
    </w:p>
    <w:p>
      <w:pPr>
        <w:spacing w:after="0" w:line="55" w:lineRule="exact"/>
        <w:rPr>
          <w:rFonts w:ascii="Times New Roman" w:cs="Times New Roman" w:eastAsia="Times New Roman" w:hAnsi="Times New Roman"/>
          <w:sz w:val="14"/>
          <w:szCs w:val="14"/>
          <w:color w:val="auto"/>
        </w:rPr>
      </w:pPr>
    </w:p>
    <w:p>
      <w:pPr>
        <w:ind w:left="480" w:hanging="189"/>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Wagering Services and Solutions segment, revenue is disaggregated between live and simulcast racing, gaming, and other services.</w:t>
      </w:r>
    </w:p>
    <w:p>
      <w:pPr>
        <w:spacing w:after="0" w:line="93" w:lineRule="exact"/>
        <w:rPr>
          <w:rFonts w:ascii="Times New Roman" w:cs="Times New Roman" w:eastAsia="Times New Roman" w:hAnsi="Times New Roman"/>
          <w:sz w:val="14"/>
          <w:szCs w:val="14"/>
          <w:color w:val="auto"/>
        </w:rPr>
      </w:pPr>
    </w:p>
    <w:p>
      <w:pPr>
        <w:ind w:left="540" w:hanging="249"/>
        <w:spacing w:after="0" w:line="287" w:lineRule="auto"/>
        <w:tabs>
          <w:tab w:leader="none" w:pos="53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Gaming segment, revenue is disaggregated by location given the geographic economic factors that affect the revenue of Gaming service offerings. Within the Gaming segment, revenue is further disaggregated between live and simulcast racing, historical racing, racing event-related services, gaming, and other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236220</wp:posOffset>
            </wp:positionV>
            <wp:extent cx="712787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believe that these disclosures depict how the amount, nature, timing, and uncertainty of cash flows are affected by economic factors. The tables below present net revenue from external customers and intercompany revenue from each of our segments: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880" w:type="dxa"/>
            <w:vAlign w:val="bottom"/>
            <w:gridSpan w:val="4"/>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5"/>
        </w:trPr>
        <w:tc>
          <w:tcPr>
            <w:tcW w:w="46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Churchill Downs Racetrack</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Louisville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Northern Kentucky</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Southwestern Kentucky</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Western Kentucky</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Virginia</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0" w:type="dxa"/>
            <w:vAlign w:val="bottom"/>
          </w:tcPr>
          <w:p>
            <w:pPr>
              <w:spacing w:after="0"/>
              <w:rPr>
                <w:sz w:val="1"/>
                <w:szCs w:val="1"/>
                <w:color w:val="auto"/>
              </w:rPr>
            </w:pPr>
          </w:p>
        </w:tc>
      </w:tr>
      <w:tr>
        <w:trPr>
          <w:trHeight w:val="184"/>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New Hampshire</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75"/>
        </w:trPr>
        <w:tc>
          <w:tcPr>
            <w:tcW w:w="4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Live and Historical Racing</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782.4</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0" w:type="dxa"/>
            <w:vAlign w:val="bottom"/>
          </w:tcPr>
          <w:p>
            <w:pPr>
              <w:spacing w:after="0"/>
              <w:rPr>
                <w:sz w:val="1"/>
                <w:szCs w:val="1"/>
                <w:color w:val="auto"/>
              </w:rPr>
            </w:pPr>
          </w:p>
        </w:tc>
      </w:tr>
      <w:tr>
        <w:trPr>
          <w:trHeight w:val="378"/>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Wagering Services and Solutions: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80" w:type="dxa"/>
            <w:vAlign w:val="bottom"/>
          </w:tcPr>
          <w:p>
            <w:pPr>
              <w:spacing w:after="0"/>
              <w:rPr>
                <w:sz w:val="24"/>
                <w:szCs w:val="2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80" w:type="dxa"/>
            <w:vAlign w:val="bottom"/>
          </w:tcPr>
          <w:p>
            <w:pPr>
              <w:spacing w:after="0"/>
              <w:rPr>
                <w:sz w:val="24"/>
                <w:szCs w:val="2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00" w:type="dxa"/>
            <w:vAlign w:val="bottom"/>
          </w:tcPr>
          <w:p>
            <w:pPr>
              <w:spacing w:after="0"/>
              <w:rPr>
                <w:sz w:val="24"/>
                <w:szCs w:val="2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0" w:type="dxa"/>
            <w:vAlign w:val="bottom"/>
          </w:tcPr>
          <w:p>
            <w:pPr>
              <w:spacing w:after="0"/>
              <w:rPr>
                <w:sz w:val="1"/>
                <w:szCs w:val="1"/>
                <w:color w:val="auto"/>
              </w:rPr>
            </w:pPr>
          </w:p>
        </w:tc>
      </w:tr>
      <w:tr>
        <w:trPr>
          <w:trHeight w:val="378"/>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Florida</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Iowa</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Indiana</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Louisiana</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Maine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Maryland</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Mississippi</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80"/>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New York</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84"/>
        </w:trPr>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Pennsylvania</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67"/>
        </w:trPr>
        <w:tc>
          <w:tcPr>
            <w:tcW w:w="4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Gaming</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80" w:type="dxa"/>
            <w:vAlign w:val="bottom"/>
          </w:tcPr>
          <w:p>
            <w:pPr>
              <w:spacing w:after="0"/>
              <w:rPr>
                <w:sz w:val="14"/>
                <w:szCs w:val="1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80" w:type="dxa"/>
            <w:vAlign w:val="bottom"/>
          </w:tcPr>
          <w:p>
            <w:pPr>
              <w:spacing w:after="0"/>
              <w:rPr>
                <w:sz w:val="14"/>
                <w:szCs w:val="1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10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0" w:type="dxa"/>
            <w:vAlign w:val="bottom"/>
          </w:tcPr>
          <w:p>
            <w:pPr>
              <w:spacing w:after="0"/>
              <w:rPr>
                <w:sz w:val="1"/>
                <w:szCs w:val="1"/>
                <w:color w:val="auto"/>
              </w:rPr>
            </w:pPr>
          </w:p>
        </w:tc>
      </w:tr>
      <w:tr>
        <w:trPr>
          <w:trHeight w:val="184"/>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 Other</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4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revenue from external customers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934.4</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890.7</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1,577.0</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1,481.6</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Intercompany net revenues: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80"/>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Wagering Services and Solutions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80"/>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Gaming</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0"/>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 Other</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4"/>
        </w:trPr>
        <w:tc>
          <w:tcPr>
            <w:tcW w:w="4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Eliminations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Intercompany net revenue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302895</wp:posOffset>
            </wp:positionV>
            <wp:extent cx="712787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Live and Historical</w:t>
            </w:r>
          </w:p>
        </w:tc>
        <w:tc>
          <w:tcPr>
            <w:tcW w:w="13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Wagering Services</w:t>
            </w:r>
          </w:p>
        </w:tc>
        <w:tc>
          <w:tcPr>
            <w:tcW w:w="12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0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20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1"/>
                <w:szCs w:val="11"/>
                <w:color w:val="auto"/>
              </w:rPr>
            </w:pPr>
          </w:p>
        </w:tc>
        <w:tc>
          <w:tcPr>
            <w:tcW w:w="94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Racing</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Solutions</w:t>
            </w: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Pari-mutuel:</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simulcast racing</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0" w:type="dxa"/>
            <w:vAlign w:val="bottom"/>
          </w:tcPr>
          <w:p>
            <w:pPr>
              <w:spacing w:after="0"/>
              <w:rPr>
                <w:sz w:val="1"/>
                <w:szCs w:val="1"/>
                <w:color w:val="auto"/>
              </w:rPr>
            </w:pPr>
          </w:p>
        </w:tc>
      </w:tr>
      <w:tr>
        <w:trPr>
          <w:trHeight w:val="183"/>
        </w:trPr>
        <w:tc>
          <w:tcPr>
            <w:tcW w:w="3640" w:type="dxa"/>
            <w:vAlign w:val="bottom"/>
          </w:tcPr>
          <w:p>
            <w:pPr>
              <w:ind w:left="100"/>
              <w:spacing w:after="0" w:line="183" w:lineRule="exact"/>
              <w:rPr>
                <w:sz w:val="20"/>
                <w:szCs w:val="20"/>
                <w:color w:val="auto"/>
              </w:rPr>
            </w:pPr>
            <w:r>
              <w:rPr>
                <w:rFonts w:ascii="Times New Roman" w:cs="Times New Roman" w:eastAsia="Times New Roman" w:hAnsi="Times New Roman"/>
                <w:sz w:val="14"/>
                <w:szCs w:val="14"/>
                <w:color w:val="auto"/>
              </w:rPr>
              <w:t>Historical racing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Racing event-related services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0" w:type="dxa"/>
            <w:vAlign w:val="bottom"/>
          </w:tcPr>
          <w:p>
            <w:pPr>
              <w:spacing w:after="0"/>
              <w:rPr>
                <w:sz w:val="1"/>
                <w:szCs w:val="1"/>
                <w:color w:val="auto"/>
              </w:rPr>
            </w:pPr>
          </w:p>
        </w:tc>
      </w:tr>
      <w:tr>
        <w:trPr>
          <w:trHeight w:val="180"/>
        </w:trPr>
        <w:tc>
          <w:tcPr>
            <w:tcW w:w="36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Gaming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0" w:type="dxa"/>
            <w:vAlign w:val="bottom"/>
          </w:tcPr>
          <w:p>
            <w:pPr>
              <w:spacing w:after="0"/>
              <w:rPr>
                <w:sz w:val="1"/>
                <w:szCs w:val="1"/>
                <w:color w:val="auto"/>
              </w:rPr>
            </w:pPr>
          </w:p>
        </w:tc>
      </w:tr>
      <w:tr>
        <w:trPr>
          <w:trHeight w:val="187"/>
        </w:trPr>
        <w:tc>
          <w:tcPr>
            <w:tcW w:w="364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(a)</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71"/>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Live and Historical</w:t>
            </w:r>
          </w:p>
        </w:tc>
        <w:tc>
          <w:tcPr>
            <w:tcW w:w="13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Wagering Services</w:t>
            </w:r>
          </w:p>
        </w:tc>
        <w:tc>
          <w:tcPr>
            <w:tcW w:w="12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0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20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1"/>
                <w:szCs w:val="11"/>
                <w:color w:val="auto"/>
              </w:rPr>
            </w:pPr>
          </w:p>
        </w:tc>
        <w:tc>
          <w:tcPr>
            <w:tcW w:w="94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Racing</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Solutions</w:t>
            </w: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Pari-mutuel:</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simulcast racing</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0" w:type="dxa"/>
            <w:vAlign w:val="bottom"/>
          </w:tcPr>
          <w:p>
            <w:pPr>
              <w:spacing w:after="0"/>
              <w:rPr>
                <w:sz w:val="1"/>
                <w:szCs w:val="1"/>
                <w:color w:val="auto"/>
              </w:rPr>
            </w:pPr>
          </w:p>
        </w:tc>
      </w:tr>
      <w:tr>
        <w:trPr>
          <w:trHeight w:val="183"/>
        </w:trPr>
        <w:tc>
          <w:tcPr>
            <w:tcW w:w="3640" w:type="dxa"/>
            <w:vAlign w:val="bottom"/>
          </w:tcPr>
          <w:p>
            <w:pPr>
              <w:ind w:left="100"/>
              <w:spacing w:after="0" w:line="183" w:lineRule="exact"/>
              <w:rPr>
                <w:sz w:val="20"/>
                <w:szCs w:val="20"/>
                <w:color w:val="auto"/>
              </w:rPr>
            </w:pPr>
            <w:r>
              <w:rPr>
                <w:rFonts w:ascii="Times New Roman" w:cs="Times New Roman" w:eastAsia="Times New Roman" w:hAnsi="Times New Roman"/>
                <w:sz w:val="14"/>
                <w:szCs w:val="14"/>
                <w:color w:val="auto"/>
              </w:rPr>
              <w:t>Historical racing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Racing event-related services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0" w:type="dxa"/>
            <w:vAlign w:val="bottom"/>
          </w:tcPr>
          <w:p>
            <w:pPr>
              <w:spacing w:after="0"/>
              <w:rPr>
                <w:sz w:val="1"/>
                <w:szCs w:val="1"/>
                <w:color w:val="auto"/>
              </w:rPr>
            </w:pPr>
          </w:p>
        </w:tc>
      </w:tr>
      <w:tr>
        <w:trPr>
          <w:trHeight w:val="180"/>
        </w:trPr>
        <w:tc>
          <w:tcPr>
            <w:tcW w:w="36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Gaming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0" w:type="dxa"/>
            <w:vAlign w:val="bottom"/>
          </w:tcPr>
          <w:p>
            <w:pPr>
              <w:spacing w:after="0"/>
              <w:rPr>
                <w:sz w:val="1"/>
                <w:szCs w:val="1"/>
                <w:color w:val="auto"/>
              </w:rPr>
            </w:pPr>
          </w:p>
        </w:tc>
      </w:tr>
      <w:tr>
        <w:trPr>
          <w:trHeight w:val="187"/>
        </w:trPr>
        <w:tc>
          <w:tcPr>
            <w:tcW w:w="364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(a)</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0" w:type="dxa"/>
            <w:vAlign w:val="bottom"/>
          </w:tcPr>
          <w:p>
            <w:pPr>
              <w:spacing w:after="0"/>
              <w:rPr>
                <w:sz w:val="1"/>
                <w:szCs w:val="1"/>
                <w:color w:val="auto"/>
              </w:rPr>
            </w:pPr>
          </w:p>
        </w:tc>
      </w:tr>
      <w:tr>
        <w:trPr>
          <w:trHeight w:val="171"/>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380" w:hanging="375"/>
        <w:spacing w:after="0" w:line="270" w:lineRule="auto"/>
        <w:tabs>
          <w:tab w:leader="none" w:pos="34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$15.6 million for the three months ended June 30, 2025 and $14.2 million for the 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277495</wp:posOffset>
            </wp:positionV>
            <wp:extent cx="712787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Live and Historical</w:t>
            </w:r>
          </w:p>
        </w:tc>
        <w:tc>
          <w:tcPr>
            <w:tcW w:w="13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Wagering Services</w:t>
            </w:r>
          </w:p>
        </w:tc>
        <w:tc>
          <w:tcPr>
            <w:tcW w:w="16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0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20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1"/>
                <w:szCs w:val="11"/>
                <w:color w:val="auto"/>
              </w:rPr>
            </w:pPr>
          </w:p>
        </w:tc>
        <w:tc>
          <w:tcPr>
            <w:tcW w:w="94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Racing</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Solutions</w:t>
            </w: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Pari-mutuel:</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simulcast racing</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0" w:type="dxa"/>
            <w:vAlign w:val="bottom"/>
          </w:tcPr>
          <w:p>
            <w:pPr>
              <w:spacing w:after="0"/>
              <w:rPr>
                <w:sz w:val="1"/>
                <w:szCs w:val="1"/>
                <w:color w:val="auto"/>
              </w:rPr>
            </w:pPr>
          </w:p>
        </w:tc>
      </w:tr>
      <w:tr>
        <w:trPr>
          <w:trHeight w:val="183"/>
        </w:trPr>
        <w:tc>
          <w:tcPr>
            <w:tcW w:w="3640" w:type="dxa"/>
            <w:vAlign w:val="bottom"/>
          </w:tcPr>
          <w:p>
            <w:pPr>
              <w:ind w:left="100"/>
              <w:spacing w:after="0" w:line="183" w:lineRule="exact"/>
              <w:rPr>
                <w:sz w:val="20"/>
                <w:szCs w:val="20"/>
                <w:color w:val="auto"/>
              </w:rPr>
            </w:pPr>
            <w:r>
              <w:rPr>
                <w:rFonts w:ascii="Times New Roman" w:cs="Times New Roman" w:eastAsia="Times New Roman" w:hAnsi="Times New Roman"/>
                <w:sz w:val="14"/>
                <w:szCs w:val="14"/>
                <w:color w:val="auto"/>
              </w:rPr>
              <w:t>Historical racing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502.6</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Racing event-related services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0" w:type="dxa"/>
            <w:vAlign w:val="bottom"/>
          </w:tcPr>
          <w:p>
            <w:pPr>
              <w:spacing w:after="0"/>
              <w:rPr>
                <w:sz w:val="1"/>
                <w:szCs w:val="1"/>
                <w:color w:val="auto"/>
              </w:rPr>
            </w:pPr>
          </w:p>
        </w:tc>
      </w:tr>
      <w:tr>
        <w:trPr>
          <w:trHeight w:val="180"/>
        </w:trPr>
        <w:tc>
          <w:tcPr>
            <w:tcW w:w="36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Gaming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w:t>
            </w:r>
          </w:p>
        </w:tc>
        <w:tc>
          <w:tcPr>
            <w:tcW w:w="0" w:type="dxa"/>
            <w:vAlign w:val="bottom"/>
          </w:tcPr>
          <w:p>
            <w:pPr>
              <w:spacing w:after="0"/>
              <w:rPr>
                <w:sz w:val="1"/>
                <w:szCs w:val="1"/>
                <w:color w:val="auto"/>
              </w:rPr>
            </w:pPr>
          </w:p>
        </w:tc>
      </w:tr>
      <w:tr>
        <w:trPr>
          <w:trHeight w:val="187"/>
        </w:trPr>
        <w:tc>
          <w:tcPr>
            <w:tcW w:w="364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(a)</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0" w:type="dxa"/>
            <w:vAlign w:val="bottom"/>
          </w:tcPr>
          <w:p>
            <w:pPr>
              <w:spacing w:after="0"/>
              <w:rPr>
                <w:sz w:val="1"/>
                <w:szCs w:val="1"/>
                <w:color w:val="auto"/>
              </w:rPr>
            </w:pPr>
          </w:p>
        </w:tc>
      </w:tr>
      <w:tr>
        <w:trPr>
          <w:trHeight w:val="171"/>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782.4</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Live and Historical</w:t>
            </w:r>
          </w:p>
        </w:tc>
        <w:tc>
          <w:tcPr>
            <w:tcW w:w="13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Wagering Services</w:t>
            </w:r>
          </w:p>
        </w:tc>
        <w:tc>
          <w:tcPr>
            <w:tcW w:w="16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0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Segments</w:t>
            </w:r>
          </w:p>
        </w:tc>
        <w:tc>
          <w:tcPr>
            <w:tcW w:w="20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1"/>
                <w:szCs w:val="11"/>
                <w:color w:val="auto"/>
              </w:rPr>
            </w:pPr>
          </w:p>
        </w:tc>
        <w:tc>
          <w:tcPr>
            <w:tcW w:w="94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Racing</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Solutions</w:t>
            </w: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revenue from external customers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Pari-mutuel:</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Live and simulcast racing</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0" w:type="dxa"/>
            <w:vAlign w:val="bottom"/>
          </w:tcPr>
          <w:p>
            <w:pPr>
              <w:spacing w:after="0"/>
              <w:rPr>
                <w:sz w:val="1"/>
                <w:szCs w:val="1"/>
                <w:color w:val="auto"/>
              </w:rPr>
            </w:pPr>
          </w:p>
        </w:tc>
      </w:tr>
      <w:tr>
        <w:trPr>
          <w:trHeight w:val="183"/>
        </w:trPr>
        <w:tc>
          <w:tcPr>
            <w:tcW w:w="3640" w:type="dxa"/>
            <w:vAlign w:val="bottom"/>
          </w:tcPr>
          <w:p>
            <w:pPr>
              <w:ind w:left="100"/>
              <w:spacing w:after="0" w:line="183" w:lineRule="exact"/>
              <w:rPr>
                <w:sz w:val="20"/>
                <w:szCs w:val="20"/>
                <w:color w:val="auto"/>
              </w:rPr>
            </w:pPr>
            <w:r>
              <w:rPr>
                <w:rFonts w:ascii="Times New Roman" w:cs="Times New Roman" w:eastAsia="Times New Roman" w:hAnsi="Times New Roman"/>
                <w:sz w:val="14"/>
                <w:szCs w:val="14"/>
                <w:color w:val="auto"/>
              </w:rPr>
              <w:t>Historical racing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Racing event-related services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0" w:type="dxa"/>
            <w:vAlign w:val="bottom"/>
          </w:tcPr>
          <w:p>
            <w:pPr>
              <w:spacing w:after="0"/>
              <w:rPr>
                <w:sz w:val="1"/>
                <w:szCs w:val="1"/>
                <w:color w:val="auto"/>
              </w:rPr>
            </w:pPr>
          </w:p>
        </w:tc>
      </w:tr>
      <w:tr>
        <w:trPr>
          <w:trHeight w:val="180"/>
        </w:trPr>
        <w:tc>
          <w:tcPr>
            <w:tcW w:w="36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Gaming</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437.6</w:t>
            </w:r>
          </w:p>
        </w:tc>
        <w:tc>
          <w:tcPr>
            <w:tcW w:w="0" w:type="dxa"/>
            <w:vAlign w:val="bottom"/>
          </w:tcPr>
          <w:p>
            <w:pPr>
              <w:spacing w:after="0"/>
              <w:rPr>
                <w:sz w:val="1"/>
                <w:szCs w:val="1"/>
                <w:color w:val="auto"/>
              </w:rPr>
            </w:pPr>
          </w:p>
        </w:tc>
      </w:tr>
      <w:tr>
        <w:trPr>
          <w:trHeight w:val="187"/>
        </w:trPr>
        <w:tc>
          <w:tcPr>
            <w:tcW w:w="364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(a)</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0" w:type="dxa"/>
            <w:vAlign w:val="bottom"/>
          </w:tcPr>
          <w:p>
            <w:pPr>
              <w:spacing w:after="0"/>
              <w:rPr>
                <w:sz w:val="1"/>
                <w:szCs w:val="1"/>
                <w:color w:val="auto"/>
              </w:rPr>
            </w:pPr>
          </w:p>
        </w:tc>
      </w:tr>
      <w:tr>
        <w:trPr>
          <w:trHeight w:val="171"/>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380" w:hanging="375"/>
        <w:spacing w:after="0" w:line="270" w:lineRule="auto"/>
        <w:tabs>
          <w:tab w:leader="none" w:pos="34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$30.0 million for the six months ended June 30, 2025 and $27.6 million 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277495</wp:posOffset>
            </wp:positionV>
            <wp:extent cx="712787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12700</wp:posOffset>
            </wp:positionV>
            <wp:extent cx="714819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 SUPPLEMENTAL BALANCE SHEET INFORMATION</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net</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Accounts receivable is comprised of the following:</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730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24"/>
                <w:szCs w:val="24"/>
                <w:color w:val="auto"/>
              </w:rPr>
            </w:pPr>
          </w:p>
        </w:tc>
        <w:tc>
          <w:tcPr>
            <w:tcW w:w="1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67"/>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Trade receivables</w:t>
            </w:r>
          </w:p>
        </w:tc>
        <w:tc>
          <w:tcPr>
            <w:tcW w:w="340" w:type="dxa"/>
            <w:vAlign w:val="bottom"/>
            <w:tcBorders>
              <w:top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80"/>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Simulcast and online wagering receivables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184"/>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receivables</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67"/>
        </w:trPr>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0" w:type="dxa"/>
            <w:vAlign w:val="bottom"/>
          </w:tcPr>
          <w:p>
            <w:pPr>
              <w:spacing w:after="0"/>
              <w:rPr>
                <w:sz w:val="1"/>
                <w:szCs w:val="1"/>
                <w:color w:val="auto"/>
              </w:rPr>
            </w:pPr>
          </w:p>
        </w:tc>
      </w:tr>
      <w:tr>
        <w:trPr>
          <w:trHeight w:val="184"/>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71"/>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Other current assets</w:t>
            </w: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3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30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24"/>
                <w:szCs w:val="24"/>
                <w:color w:val="auto"/>
              </w:rPr>
            </w:pPr>
          </w:p>
        </w:tc>
        <w:tc>
          <w:tcPr>
            <w:tcW w:w="1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67"/>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Inventory</w:t>
            </w:r>
          </w:p>
        </w:tc>
        <w:tc>
          <w:tcPr>
            <w:tcW w:w="340" w:type="dxa"/>
            <w:vAlign w:val="bottom"/>
            <w:tcBorders>
              <w:top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0"/>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Prepaid technology costs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0"/>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Prepaid insurance and taxes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0"/>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prepaid costs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4"/>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Insurance deposits and other</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 and other current liabilities</w:t>
            </w: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73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30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7"/>
                <w:szCs w:val="17"/>
                <w:color w:val="auto"/>
              </w:rPr>
            </w:pPr>
          </w:p>
        </w:tc>
        <w:tc>
          <w:tcPr>
            <w:tcW w:w="1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67"/>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Account wagering deposits liability</w:t>
            </w:r>
          </w:p>
        </w:tc>
        <w:tc>
          <w:tcPr>
            <w:tcW w:w="20" w:type="dxa"/>
            <w:vAlign w:val="bottom"/>
          </w:tcPr>
          <w:p>
            <w:pPr>
              <w:spacing w:after="0"/>
              <w:rPr>
                <w:sz w:val="14"/>
                <w:szCs w:val="14"/>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180"/>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Accrued salaries and related benefits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180"/>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Purses payable</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80"/>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Accrued interest</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80"/>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Accrued fixed assets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80"/>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Accrued gaming liabilities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180"/>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Accrued insurance</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80"/>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Accrued property taxes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80"/>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84"/>
        </w:trPr>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0" w:type="dxa"/>
            <w:vAlign w:val="bottom"/>
          </w:tcPr>
          <w:p>
            <w:pPr>
              <w:spacing w:after="0"/>
              <w:rPr>
                <w:sz w:val="1"/>
                <w:szCs w:val="1"/>
                <w:color w:val="auto"/>
              </w:rPr>
            </w:pPr>
          </w:p>
        </w:tc>
      </w:tr>
      <w:tr>
        <w:trPr>
          <w:trHeight w:val="171"/>
        </w:trPr>
        <w:tc>
          <w:tcPr>
            <w:tcW w:w="7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10. REDEEMABLE NONCONTROLLING INTEREST</w:t>
      </w:r>
    </w:p>
    <w:p>
      <w:pPr>
        <w:spacing w:after="0" w:line="96" w:lineRule="exact"/>
        <w:rPr>
          <w:sz w:val="20"/>
          <w:szCs w:val="20"/>
          <w:color w:val="auto"/>
        </w:rPr>
      </w:pPr>
    </w:p>
    <w:p>
      <w:pPr>
        <w:jc w:val="both"/>
        <w:ind w:left="60"/>
        <w:spacing w:after="0" w:line="270" w:lineRule="auto"/>
        <w:rPr>
          <w:sz w:val="20"/>
          <w:szCs w:val="20"/>
          <w:color w:val="auto"/>
        </w:rPr>
      </w:pPr>
      <w:r>
        <w:rPr>
          <w:rFonts w:ascii="Times New Roman" w:cs="Times New Roman" w:eastAsia="Times New Roman" w:hAnsi="Times New Roman"/>
          <w:sz w:val="14"/>
          <w:szCs w:val="14"/>
          <w:color w:val="auto"/>
        </w:rPr>
        <w:t>In April 2024, the Company closed on the sale of 49% of United Tote, a wholly-owned subsidiary of CDI, to NYRA. NYRA's interest includes certain embedded redemption features, such as a put right, that are not exclusively within the Company’s control. NYRA's interest is treated as redeemable noncontrolling interest and is presented outside of permanent equity on the Company’s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243840</wp:posOffset>
            </wp:positionV>
            <wp:extent cx="712787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100965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240" w:top="155"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redeemable noncontrolling interest is initially accounted for at fair value and subsequently adjusted to the greater of the redemption value or the carrying value. Redeemable noncontrolling interest adjustments of carrying value to redemption value are reflected in retained earnings and are also included as an adjustment to income available to the Company’s shareholders in the calculation of earnings per share (See Note 14, Net Income Per Common Share Computations). The table below depicts changes in the Company’s redeemable noncontrolling interest balance.</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92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5"/>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180"/>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redeemable noncontrolling interest</w:t>
            </w:r>
          </w:p>
        </w:tc>
        <w:tc>
          <w:tcPr>
            <w:tcW w:w="8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4"/>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Redemption value adjustment</w:t>
            </w:r>
          </w:p>
        </w:tc>
        <w:tc>
          <w:tcPr>
            <w:tcW w:w="8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Balance, June 30, 2025</w:t>
            </w: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20"/>
        </w:trPr>
        <w:tc>
          <w:tcPr>
            <w:tcW w:w="9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INVESTMENTS IN AND ADVANCES TO UNCONSOLIDATED AFFILIATES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Investments in and advances to unconsolidated affiliates as of June 30, 2025 and December 31, 2024 primarily consisted of interests in Rivers Casino Des Plaines ("Rivers Des Plaines") and Miami Valley Gaming and Racing ("MVG").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Rivers Casino Des Plaines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ownership of Rivers Des Plaines is comprised of the following: (1) the Company owns 61.3%, (2) High Plaines Gaming, LLC ("High Plaines"), an affiliate of Rush Street Gaming, LLC, owns 36.0%, and (3) Casino Investors, LLC owns 2.7%. Both the Company and High Plaines have participating rights over Rivers Des Plaines, and both must consent to certain operating, investing and financing decisions. As a result, we account for Rivers Des Plaines using the equity method. As of June 30, 2025, the net aggregate basis difference between the Company’s investment in Rivers Des Plaines and the amounts of the underlying equity in net assets was $833.1 million.</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investment in Rivers Des Plaines was $554.7 million and $547.1 million as of June 30, 2025 and December 31, 2024, respectively. The Company received distributions from Rivers Des Plaines of $39.8 million and $58.7 million for the six months ended June 30, 2025 and 2024,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Miami Valley Gaming and Racing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owns a 50% interest in MVG and Delaware North Companies Gaming &amp; Entertainment Inc. ("DNC") owns the remaining 50% interest in MVG. Since both the Company and DNC have participating rights over MVG, and both must consent to certain operating, investing and financing decisions, we account for MVG using the equity method.</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investment in MVG was $114.1 million as of June 30, 2025 and December 31, 2024. The Company received distributions from MVG of $23.0 million for the six months ended June 30, 2025 and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Summarized Financial Results for our Unconsolidated Affiliates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Summarized below are the financial results for our unconsolidated affiliates.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60" w:type="dxa"/>
            <w:vAlign w:val="bottom"/>
            <w:tcBorders>
              <w:bottom w:val="single" w:sz="8" w:color="auto"/>
            </w:tcBorders>
          </w:tcPr>
          <w:p>
            <w:pPr>
              <w:spacing w:after="0"/>
              <w:rPr>
                <w:sz w:val="16"/>
                <w:szCs w:val="16"/>
                <w:color w:val="auto"/>
              </w:rPr>
            </w:pPr>
          </w:p>
        </w:tc>
      </w:tr>
      <w:tr>
        <w:trPr>
          <w:trHeight w:val="171"/>
        </w:trPr>
        <w:tc>
          <w:tcPr>
            <w:tcW w:w="35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2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67"/>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Net revenue</w:t>
            </w: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tcPr>
          <w:p>
            <w:pPr>
              <w:spacing w:after="0"/>
              <w:rPr>
                <w:sz w:val="14"/>
                <w:szCs w:val="14"/>
                <w:color w:val="auto"/>
              </w:rPr>
            </w:pP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40" w:type="dxa"/>
            <w:vAlign w:val="bottom"/>
          </w:tcPr>
          <w:p>
            <w:pPr>
              <w:spacing w:after="0"/>
              <w:rPr>
                <w:sz w:val="14"/>
                <w:szCs w:val="14"/>
                <w:color w:val="auto"/>
              </w:rPr>
            </w:pP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w:t>
            </w:r>
          </w:p>
        </w:tc>
        <w:tc>
          <w:tcPr>
            <w:tcW w:w="100" w:type="dxa"/>
            <w:vAlign w:val="bottom"/>
          </w:tcPr>
          <w:p>
            <w:pPr>
              <w:spacing w:after="0"/>
              <w:rPr>
                <w:sz w:val="14"/>
                <w:szCs w:val="14"/>
                <w:color w:val="auto"/>
              </w:rPr>
            </w:pPr>
          </w:p>
        </w:tc>
        <w:tc>
          <w:tcPr>
            <w:tcW w:w="7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w:t>
            </w:r>
          </w:p>
        </w:tc>
      </w:tr>
      <w:tr>
        <w:trPr>
          <w:trHeight w:val="18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Operating and SG&amp;A expense</w:t>
            </w:r>
          </w:p>
        </w:tc>
        <w:tc>
          <w:tcPr>
            <w:tcW w:w="1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r>
      <w:tr>
        <w:trPr>
          <w:trHeight w:val="184"/>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67"/>
        </w:trPr>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w:t>
            </w:r>
          </w:p>
        </w:tc>
      </w:tr>
      <w:tr>
        <w:trPr>
          <w:trHeight w:val="184"/>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net</w:t>
            </w:r>
          </w:p>
        </w:tc>
        <w:tc>
          <w:tcPr>
            <w:tcW w:w="1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171"/>
        </w:trPr>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60" w:type="dxa"/>
            <w:vAlign w:val="bottom"/>
            <w:tcBorders>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40" w:type="dxa"/>
            <w:vAlign w:val="bottom"/>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w:t>
            </w:r>
          </w:p>
        </w:tc>
      </w:tr>
      <w:tr>
        <w:trPr>
          <w:trHeight w:val="20"/>
        </w:trPr>
        <w:tc>
          <w:tcPr>
            <w:tcW w:w="35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302895</wp:posOffset>
            </wp:positionV>
            <wp:extent cx="712787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2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40" w:type="dxa"/>
            <w:vAlign w:val="bottom"/>
          </w:tcPr>
          <w:p>
            <w:pPr>
              <w:spacing w:after="0"/>
              <w:rPr>
                <w:sz w:val="16"/>
                <w:szCs w:val="16"/>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57"/>
        </w:trPr>
        <w:tc>
          <w:tcPr>
            <w:tcW w:w="728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180"/>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0" w:type="dxa"/>
            <w:vAlign w:val="bottom"/>
          </w:tcPr>
          <w:p>
            <w:pPr>
              <w:spacing w:after="0"/>
              <w:rPr>
                <w:sz w:val="1"/>
                <w:szCs w:val="1"/>
                <w:color w:val="auto"/>
              </w:rPr>
            </w:pPr>
          </w:p>
        </w:tc>
      </w:tr>
      <w:tr>
        <w:trPr>
          <w:trHeight w:val="184"/>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Other assets, net</w:t>
            </w: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0" w:type="dxa"/>
            <w:vAlign w:val="bottom"/>
          </w:tcPr>
          <w:p>
            <w:pPr>
              <w:spacing w:after="0"/>
              <w:rPr>
                <w:sz w:val="1"/>
                <w:szCs w:val="1"/>
                <w:color w:val="auto"/>
              </w:rPr>
            </w:pPr>
          </w:p>
        </w:tc>
      </w:tr>
      <w:tr>
        <w:trPr>
          <w:trHeight w:val="171"/>
        </w:trPr>
        <w:tc>
          <w:tcPr>
            <w:tcW w:w="7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693.6</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Members' Deficit</w:t>
            </w: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2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180"/>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839.8</w:t>
            </w:r>
          </w:p>
        </w:tc>
        <w:tc>
          <w:tcPr>
            <w:tcW w:w="0" w:type="dxa"/>
            <w:vAlign w:val="bottom"/>
          </w:tcPr>
          <w:p>
            <w:pPr>
              <w:spacing w:after="0"/>
              <w:rPr>
                <w:sz w:val="1"/>
                <w:szCs w:val="1"/>
                <w:color w:val="auto"/>
              </w:rPr>
            </w:pPr>
          </w:p>
        </w:tc>
      </w:tr>
      <w:tr>
        <w:trPr>
          <w:trHeight w:val="180"/>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4"/>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Members' deficit</w:t>
            </w: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0" w:type="dxa"/>
            <w:vAlign w:val="bottom"/>
          </w:tcPr>
          <w:p>
            <w:pPr>
              <w:spacing w:after="0"/>
              <w:rPr>
                <w:sz w:val="1"/>
                <w:szCs w:val="1"/>
                <w:color w:val="auto"/>
              </w:rPr>
            </w:pPr>
          </w:p>
        </w:tc>
      </w:tr>
      <w:tr>
        <w:trPr>
          <w:trHeight w:val="171"/>
        </w:trPr>
        <w:tc>
          <w:tcPr>
            <w:tcW w:w="7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liabilities and members' deficit</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693.6</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FAIR VALUE OF ASSETS AND LIABILITIES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endeavor to utilize the best available information in measuring fair value. Financial assets and liabilities are classified based on the lowest level of input that is significant to the fair value measurement. The following methods and assumptions are used to estimate the fair value of each class of financial instruments for which it is practicable to estimate.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restricted cash accounts held in money market and interest-bearing accounts qualify for Level 1 in the fair value hierarchy, which includes unadjusted quoted market prices in active markets for identical 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 of the Company’s 2031 Senior Notes, 2030 Senior Notes, 2028 Senior Notes, and 2027 Senior Notes are estimated based on unadjusted quoted prices for identical or similar liabilities in markets that are not active and as such are Level 2 measurements. The fair values of the Company's Term Loan B-1, Term Loan A, and Revolver under the Credit Agreement approximate the gross carrying value of the variable rate debt and as such are Level 2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419100</wp:posOffset>
            </wp:positionV>
            <wp:extent cx="712787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carrying amounts and estimated fair values by input level of the Company's financial instruments are as follows: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2"/>
        </w:trPr>
        <w:tc>
          <w:tcPr>
            <w:tcW w:w="4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71"/>
        </w:trPr>
        <w:tc>
          <w:tcPr>
            <w:tcW w:w="43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56"/>
        </w:trPr>
        <w:tc>
          <w:tcPr>
            <w:tcW w:w="43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180"/>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Term Loan B-1</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Term Loan A</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Revolver</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2027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2028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2030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2031 Senior Notes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bl>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1"/>
        </w:trPr>
        <w:tc>
          <w:tcPr>
            <w:tcW w:w="42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56"/>
        </w:trPr>
        <w:tc>
          <w:tcPr>
            <w:tcW w:w="42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Term Loan B-1</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Term Loan A</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Revolver</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2028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2030 Senior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2031 Senior Notes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CONTINGENCIES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involved in litigation arising in the ordinary course of conducting business. We carry insurance for workers' compensation claims from our employees and general liability for claims from independent contractors, customers, and guests. We are self-insured up to an aggregate stop loss for our general liability and workers' compensation coverages.</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review all litigation on an ongoing basis when making accrual and disclosure decisions. For certain legal proceedings, we cannot reasonably estimate losses or a range of loss, if any, particularly for proceedings that are in the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us, or settlement by us, there can be no assurance that any resulting liability or financial commitment would not have a material adverse impact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243840</wp:posOffset>
            </wp:positionV>
            <wp:extent cx="712787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14. NET INCOME PER COMMON SHARE COMPUTATIONS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9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is a reconciliation of the numerator and denominator of the net income per common share computations: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20"/>
                <w:szCs w:val="20"/>
                <w:color w:val="auto"/>
              </w:rPr>
            </w:pPr>
          </w:p>
        </w:tc>
        <w:tc>
          <w:tcPr>
            <w:tcW w:w="2720" w:type="dxa"/>
            <w:vAlign w:val="bottom"/>
            <w:gridSpan w:val="4"/>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50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 except per share data)</w:t>
            </w: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56"/>
        </w:trPr>
        <w:tc>
          <w:tcPr>
            <w:tcW w:w="50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Numerator for basic and diluted net income per common share:</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Churchill Downs Incorporated</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0" w:type="dxa"/>
            <w:vAlign w:val="bottom"/>
          </w:tcPr>
          <w:p>
            <w:pPr>
              <w:spacing w:after="0"/>
              <w:rPr>
                <w:sz w:val="1"/>
                <w:szCs w:val="1"/>
                <w:color w:val="auto"/>
              </w:rPr>
            </w:pPr>
          </w:p>
        </w:tc>
      </w:tr>
      <w:tr>
        <w:trPr>
          <w:trHeight w:val="184"/>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 related to redeemable noncontrolling interest</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71"/>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Denominator for net income per common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184"/>
        </w:trPr>
        <w:tc>
          <w:tcPr>
            <w:tcW w:w="5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Plus dilutive effect of stock awards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per common share data:</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 net income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84"/>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 net income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SEGMENT INFORMATION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manage our operations through three reportable segments: Live and Historical Racing, Wagering Services and Solutions, and Gaming. Our operating segments reflect the internal management reporting used by our chief operating decision maker, our Chief Executive Officer, to evaluate results of operations and to assess performance and allocate resources.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Eliminations include the elimination of intersegment transactions. We utilize non-GAAP measures, including EBITDA (earnings before interest, taxes, depreciation and amortization) and Adjusted EBITDA. Our chief operating decision maker utilizes Adjusted EBITDA to evaluate segment performance, develop strategy, and allocate resources. Adjusted EBITDA includes the following adjustments: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Adjusted EBITDA includes our portion of EBITDA from our equity investments and the portion of EBITDA attributable to a noncontrolling interest.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Adjusted EBITDA excludes, as applicable:</w:t>
      </w:r>
    </w:p>
    <w:p>
      <w:pPr>
        <w:spacing w:after="0" w:line="94" w:lineRule="exact"/>
        <w:rPr>
          <w:sz w:val="20"/>
          <w:szCs w:val="20"/>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expense, net which includes:</w:t>
      </w:r>
    </w:p>
    <w:p>
      <w:pPr>
        <w:spacing w:after="0" w:line="51"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Acquisition, disposition, and property sale related charges;</w:t>
      </w:r>
    </w:p>
    <w:p>
      <w:pPr>
        <w:spacing w:after="0" w:line="51"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Other transaction expense, including legal, accounting, and other deal-related expense;</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Rivers Des Plaines' impact on our investments in unconsolidated affiliates from legal reserves and transaction costs;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impairments;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on property sales;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reserves;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Pre-opening expense; and</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charges, recoveries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419100</wp:posOffset>
            </wp:positionV>
            <wp:extent cx="712787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utilize the Adjusted EBITDA metric to provide a more accurate measure of our core operating results and enable management and investors to evaluate and compare from period to period our operating performance in a meaningful and consistent manner. Adjusted EBITDA should not be considered as an alternative to operating income as an indicator of performance, as an alternative to cash flows from operating activities as a measure of liquidity, or as an alternative to any other measure provided in accordance with GAAP. Our calculation of Adjusted EBITDA may be different from the calculation used by other companies and, therefore, comparability may be limited. For segment reporting, Adjusted EBITDA includes intercompany revenue and expense totals that are eliminated in the accompanying Condensed Consolidated Statements of Comprehensive Income.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present net revenue from external customers, Adjusted EBITDA by segment and reconciles comprehensive income to Adjusted EBITDA:</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Net revenue by segment is comprised of the following:</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87"/>
        </w:trPr>
        <w:tc>
          <w:tcPr>
            <w:tcW w:w="4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24"/>
                <w:szCs w:val="24"/>
                <w:color w:val="auto"/>
              </w:rPr>
            </w:pPr>
          </w:p>
        </w:tc>
        <w:tc>
          <w:tcPr>
            <w:tcW w:w="2960" w:type="dxa"/>
            <w:vAlign w:val="bottom"/>
            <w:gridSpan w:val="4"/>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7"/>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10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10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782.4</w:t>
            </w:r>
          </w:p>
        </w:tc>
        <w:tc>
          <w:tcPr>
            <w:tcW w:w="80" w:type="dxa"/>
            <w:vAlign w:val="bottom"/>
          </w:tcPr>
          <w:p>
            <w:pPr>
              <w:spacing w:after="0"/>
              <w:rPr>
                <w:sz w:val="14"/>
                <w:szCs w:val="1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709.8</w:t>
            </w: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Wagering Services and Solutions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w:t>
            </w: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513.4</w:t>
            </w:r>
          </w:p>
        </w:tc>
      </w:tr>
      <w:tr>
        <w:trPr>
          <w:trHeight w:val="184"/>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934.4</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1,577.0</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1,481.6</w:t>
            </w:r>
          </w:p>
        </w:tc>
      </w:tr>
      <w:tr>
        <w:trPr>
          <w:trHeight w:val="20"/>
        </w:trPr>
        <w:tc>
          <w:tcPr>
            <w:tcW w:w="4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1340485</wp:posOffset>
            </wp:positionV>
            <wp:extent cx="712787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by segment is comprised of the following:</w:t>
            </w: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8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6"/>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1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140" w:type="dxa"/>
            <w:vAlign w:val="bottom"/>
          </w:tcPr>
          <w:p>
            <w:pPr>
              <w:spacing w:after="0"/>
              <w:rPr>
                <w:sz w:val="11"/>
                <w:szCs w:val="11"/>
                <w:color w:val="auto"/>
              </w:rPr>
            </w:pPr>
          </w:p>
        </w:tc>
        <w:tc>
          <w:tcPr>
            <w:tcW w:w="17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Wagering Services and</w:t>
            </w:r>
          </w:p>
        </w:tc>
        <w:tc>
          <w:tcPr>
            <w:tcW w:w="360" w:type="dxa"/>
            <w:vAlign w:val="bottom"/>
          </w:tcPr>
          <w:p>
            <w:pPr>
              <w:spacing w:after="0"/>
              <w:rPr>
                <w:sz w:val="11"/>
                <w:szCs w:val="11"/>
                <w:color w:val="auto"/>
              </w:rPr>
            </w:pPr>
          </w:p>
        </w:tc>
        <w:tc>
          <w:tcPr>
            <w:tcW w:w="1400" w:type="dxa"/>
            <w:vAlign w:val="bottom"/>
            <w:vMerge w:val="restart"/>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0" w:type="dxa"/>
            <w:vAlign w:val="bottom"/>
          </w:tcPr>
          <w:p>
            <w:pPr>
              <w:spacing w:after="0"/>
              <w:rPr>
                <w:sz w:val="1"/>
                <w:szCs w:val="1"/>
                <w:color w:val="auto"/>
              </w:rPr>
            </w:pPr>
          </w:p>
        </w:tc>
      </w:tr>
      <w:tr>
        <w:trPr>
          <w:trHeight w:val="191"/>
        </w:trPr>
        <w:tc>
          <w:tcPr>
            <w:tcW w:w="58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8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72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0" w:type="dxa"/>
            <w:vAlign w:val="bottom"/>
          </w:tcPr>
          <w:p>
            <w:pPr>
              <w:spacing w:after="0"/>
              <w:rPr>
                <w:sz w:val="1"/>
                <w:szCs w:val="1"/>
                <w:color w:val="auto"/>
              </w:rPr>
            </w:pPr>
          </w:p>
        </w:tc>
      </w:tr>
      <w:tr>
        <w:trPr>
          <w:trHeight w:val="215"/>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Pari-mutuel taxes and purses</w:t>
            </w: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 taxes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Marketing and advertising</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Salaries and benefits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Content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 equipment rental and technology costs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Food and beverage costs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7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84"/>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7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5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Adjusted EBITDA</w:t>
            </w:r>
          </w:p>
        </w:tc>
        <w:tc>
          <w:tcPr>
            <w:tcW w:w="7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8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1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140" w:type="dxa"/>
            <w:vAlign w:val="bottom"/>
          </w:tcPr>
          <w:p>
            <w:pPr>
              <w:spacing w:after="0"/>
              <w:rPr>
                <w:sz w:val="11"/>
                <w:szCs w:val="11"/>
                <w:color w:val="auto"/>
              </w:rPr>
            </w:pPr>
          </w:p>
        </w:tc>
        <w:tc>
          <w:tcPr>
            <w:tcW w:w="17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Wagering Services and</w:t>
            </w:r>
          </w:p>
        </w:tc>
        <w:tc>
          <w:tcPr>
            <w:tcW w:w="360" w:type="dxa"/>
            <w:vAlign w:val="bottom"/>
          </w:tcPr>
          <w:p>
            <w:pPr>
              <w:spacing w:after="0"/>
              <w:rPr>
                <w:sz w:val="11"/>
                <w:szCs w:val="11"/>
                <w:color w:val="auto"/>
              </w:rPr>
            </w:pPr>
          </w:p>
        </w:tc>
        <w:tc>
          <w:tcPr>
            <w:tcW w:w="1400" w:type="dxa"/>
            <w:vAlign w:val="bottom"/>
            <w:vMerge w:val="restart"/>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0" w:type="dxa"/>
            <w:vAlign w:val="bottom"/>
          </w:tcPr>
          <w:p>
            <w:pPr>
              <w:spacing w:after="0"/>
              <w:rPr>
                <w:sz w:val="1"/>
                <w:szCs w:val="1"/>
                <w:color w:val="auto"/>
              </w:rPr>
            </w:pPr>
          </w:p>
        </w:tc>
      </w:tr>
      <w:tr>
        <w:trPr>
          <w:trHeight w:val="191"/>
        </w:trPr>
        <w:tc>
          <w:tcPr>
            <w:tcW w:w="58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8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72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0" w:type="dxa"/>
            <w:vAlign w:val="bottom"/>
          </w:tcPr>
          <w:p>
            <w:pPr>
              <w:spacing w:after="0"/>
              <w:rPr>
                <w:sz w:val="1"/>
                <w:szCs w:val="1"/>
                <w:color w:val="auto"/>
              </w:rPr>
            </w:pPr>
          </w:p>
        </w:tc>
      </w:tr>
      <w:tr>
        <w:trPr>
          <w:trHeight w:val="215"/>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Pari-mutuel taxes and purses</w:t>
            </w: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 taxes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Marketing and advertising</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Salaries and benefits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Content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Gaming equipment rental and technology costs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Food and beverage costs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7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84"/>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5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Adjusted EBITDA</w:t>
            </w:r>
          </w:p>
        </w:tc>
        <w:tc>
          <w:tcPr>
            <w:tcW w:w="7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478155</wp:posOffset>
            </wp:positionV>
            <wp:extent cx="712787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4819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780" w:type="dxa"/>
            <w:vAlign w:val="bottom"/>
          </w:tcPr>
          <w:p>
            <w:pPr>
              <w:spacing w:after="0"/>
              <w:rPr>
                <w:sz w:val="11"/>
                <w:szCs w:val="11"/>
                <w:color w:val="auto"/>
              </w:rPr>
            </w:pPr>
          </w:p>
        </w:tc>
        <w:tc>
          <w:tcPr>
            <w:tcW w:w="1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Wagering Services and</w:t>
            </w:r>
          </w:p>
        </w:tc>
        <w:tc>
          <w:tcPr>
            <w:tcW w:w="340" w:type="dxa"/>
            <w:vAlign w:val="bottom"/>
          </w:tcPr>
          <w:p>
            <w:pPr>
              <w:spacing w:after="0"/>
              <w:rPr>
                <w:sz w:val="11"/>
                <w:szCs w:val="11"/>
                <w:color w:val="auto"/>
              </w:rPr>
            </w:pPr>
          </w:p>
        </w:tc>
        <w:tc>
          <w:tcPr>
            <w:tcW w:w="1400" w:type="dxa"/>
            <w:vAlign w:val="bottom"/>
            <w:vMerge w:val="restart"/>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0" w:type="dxa"/>
            <w:vAlign w:val="bottom"/>
          </w:tcPr>
          <w:p>
            <w:pPr>
              <w:spacing w:after="0"/>
              <w:rPr>
                <w:sz w:val="1"/>
                <w:szCs w:val="1"/>
                <w:color w:val="auto"/>
              </w:rPr>
            </w:pPr>
          </w:p>
        </w:tc>
      </w:tr>
      <w:tr>
        <w:trPr>
          <w:trHeight w:val="191"/>
        </w:trPr>
        <w:tc>
          <w:tcPr>
            <w:tcW w:w="57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72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817.3</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533.5</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Pari-mutuel taxes and purses</w:t>
            </w: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Gaming taxes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advertising</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Content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Gaming equipment rental and technology costs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Food and beverage costs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EBITDA</w:t>
            </w:r>
          </w:p>
        </w:tc>
        <w:tc>
          <w:tcPr>
            <w:tcW w:w="7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780" w:type="dxa"/>
            <w:vAlign w:val="bottom"/>
          </w:tcPr>
          <w:p>
            <w:pPr>
              <w:spacing w:after="0"/>
              <w:rPr>
                <w:sz w:val="11"/>
                <w:szCs w:val="11"/>
                <w:color w:val="auto"/>
              </w:rPr>
            </w:pPr>
          </w:p>
        </w:tc>
        <w:tc>
          <w:tcPr>
            <w:tcW w:w="1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Live and Historical Racing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Wagering Services and</w:t>
            </w:r>
          </w:p>
        </w:tc>
        <w:tc>
          <w:tcPr>
            <w:tcW w:w="340" w:type="dxa"/>
            <w:vAlign w:val="bottom"/>
          </w:tcPr>
          <w:p>
            <w:pPr>
              <w:spacing w:after="0"/>
              <w:rPr>
                <w:sz w:val="11"/>
                <w:szCs w:val="11"/>
                <w:color w:val="auto"/>
              </w:rPr>
            </w:pPr>
          </w:p>
        </w:tc>
        <w:tc>
          <w:tcPr>
            <w:tcW w:w="1400" w:type="dxa"/>
            <w:vAlign w:val="bottom"/>
            <w:vMerge w:val="restart"/>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0" w:type="dxa"/>
            <w:vAlign w:val="bottom"/>
          </w:tcPr>
          <w:p>
            <w:pPr>
              <w:spacing w:after="0"/>
              <w:rPr>
                <w:sz w:val="1"/>
                <w:szCs w:val="1"/>
                <w:color w:val="auto"/>
              </w:rPr>
            </w:pPr>
          </w:p>
        </w:tc>
      </w:tr>
      <w:tr>
        <w:trPr>
          <w:trHeight w:val="191"/>
        </w:trPr>
        <w:tc>
          <w:tcPr>
            <w:tcW w:w="57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72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517.6</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Pari-mutuel taxes and purses</w:t>
            </w: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Gaming taxes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advertising</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Content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Gaming equipment rental and technology costs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Food and beverage costs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184"/>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EBITDA</w:t>
            </w:r>
          </w:p>
        </w:tc>
        <w:tc>
          <w:tcPr>
            <w:tcW w:w="7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302895</wp:posOffset>
            </wp:positionV>
            <wp:extent cx="712787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93980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55" w:right="319" w:bottom="1440" w:gutter="0" w:footer="0" w:header="0"/>
        </w:sectPr>
      </w:pPr>
    </w:p>
    <w:bookmarkStart w:id="25" w:name="page26"/>
    <w:bookmarkEnd w:id="25"/>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by segment is comprised of the following:</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8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380" w:type="dxa"/>
            <w:vAlign w:val="bottom"/>
          </w:tcPr>
          <w:p>
            <w:pPr>
              <w:spacing w:after="0"/>
              <w:rPr>
                <w:sz w:val="14"/>
                <w:szCs w:val="14"/>
                <w:color w:val="auto"/>
              </w:rPr>
            </w:pPr>
          </w:p>
        </w:tc>
        <w:tc>
          <w:tcPr>
            <w:tcW w:w="3000" w:type="dxa"/>
            <w:vAlign w:val="bottom"/>
            <w:gridSpan w:val="4"/>
          </w:tcPr>
          <w:p>
            <w:pPr>
              <w:jc w:val="right"/>
              <w:ind w:right="869"/>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6"/>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of Comprehensive Income to Adjusted EBITDA:</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Net income and comprehensive income attributable to Churchill Downs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Incorporated</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0" w:type="dxa"/>
            <w:vAlign w:val="bottom"/>
          </w:tcPr>
          <w:p>
            <w:pPr>
              <w:spacing w:after="0"/>
              <w:rPr>
                <w:sz w:val="1"/>
                <w:szCs w:val="1"/>
                <w:color w:val="auto"/>
              </w:rPr>
            </w:pPr>
          </w:p>
        </w:tc>
      </w:tr>
      <w:tr>
        <w:trPr>
          <w:trHeight w:val="184"/>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0" w:type="dxa"/>
            <w:vAlign w:val="bottom"/>
          </w:tcPr>
          <w:p>
            <w:pPr>
              <w:spacing w:after="0"/>
              <w:rPr>
                <w:sz w:val="1"/>
                <w:szCs w:val="1"/>
                <w:color w:val="auto"/>
              </w:rPr>
            </w:pPr>
          </w:p>
        </w:tc>
      </w:tr>
      <w:tr>
        <w:trPr>
          <w:trHeight w:val="215"/>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Adjustments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provision</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Pre-opening expense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expenses, net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Asset impairments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Transaction expense, net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income, expense:</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Interest, depreciation and amortization expense related to equity</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investments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80"/>
        </w:trPr>
        <w:tc>
          <w:tcPr>
            <w:tcW w:w="4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Rivers Des Plaines' legal reserves and transaction costs</w:t>
            </w:r>
          </w:p>
        </w:tc>
        <w:tc>
          <w:tcPr>
            <w:tcW w:w="3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4"/>
        </w:trPr>
        <w:tc>
          <w:tcPr>
            <w:tcW w:w="42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charges and recoveries, net</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71"/>
        </w:trPr>
        <w:tc>
          <w:tcPr>
            <w:tcW w:w="42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adjustments</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401.2</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396.7</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 EBITDA by segment:</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0" w:type="dxa"/>
            <w:vAlign w:val="bottom"/>
          </w:tcPr>
          <w:p>
            <w:pPr>
              <w:spacing w:after="0"/>
              <w:rPr>
                <w:sz w:val="1"/>
                <w:szCs w:val="1"/>
                <w:color w:val="auto"/>
              </w:rPr>
            </w:pPr>
          </w:p>
        </w:tc>
      </w:tr>
      <w:tr>
        <w:trPr>
          <w:trHeight w:val="180"/>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Wagering Services and Solutions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0" w:type="dxa"/>
            <w:vAlign w:val="bottom"/>
          </w:tcPr>
          <w:p>
            <w:pPr>
              <w:spacing w:after="0"/>
              <w:rPr>
                <w:sz w:val="1"/>
                <w:szCs w:val="1"/>
                <w:color w:val="auto"/>
              </w:rPr>
            </w:pPr>
          </w:p>
        </w:tc>
      </w:tr>
      <w:tr>
        <w:trPr>
          <w:trHeight w:val="184"/>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Gaming</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0" w:type="dxa"/>
            <w:vAlign w:val="bottom"/>
          </w:tcPr>
          <w:p>
            <w:pPr>
              <w:spacing w:after="0"/>
              <w:rPr>
                <w:sz w:val="1"/>
                <w:szCs w:val="1"/>
                <w:color w:val="auto"/>
              </w:rPr>
            </w:pPr>
          </w:p>
        </w:tc>
      </w:tr>
      <w:tr>
        <w:trPr>
          <w:trHeight w:val="167"/>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segment Adjusted EBITDA</w:t>
            </w: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729.3</w:t>
            </w:r>
          </w:p>
        </w:tc>
        <w:tc>
          <w:tcPr>
            <w:tcW w:w="0" w:type="dxa"/>
            <w:vAlign w:val="bottom"/>
          </w:tcPr>
          <w:p>
            <w:pPr>
              <w:spacing w:after="0"/>
              <w:rPr>
                <w:sz w:val="1"/>
                <w:szCs w:val="1"/>
                <w:color w:val="auto"/>
              </w:rPr>
            </w:pPr>
          </w:p>
        </w:tc>
      </w:tr>
      <w:tr>
        <w:trPr>
          <w:trHeight w:val="184"/>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All Other</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71"/>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Adjusted EBITDA</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532130</wp:posOffset>
            </wp:positionV>
            <wp:extent cx="712787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55" w:right="4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total asset information for each of our segments: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66"/>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36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4,237.9</w:t>
            </w:r>
          </w:p>
        </w:tc>
        <w:tc>
          <w:tcPr>
            <w:tcW w:w="420" w:type="dxa"/>
            <w:vAlign w:val="bottom"/>
            <w:gridSpan w:val="4"/>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4,143.3</w:t>
            </w:r>
          </w:p>
        </w:tc>
        <w:tc>
          <w:tcPr>
            <w:tcW w:w="0" w:type="dxa"/>
            <w:vAlign w:val="bottom"/>
          </w:tcPr>
          <w:p>
            <w:pPr>
              <w:spacing w:after="0"/>
              <w:rPr>
                <w:sz w:val="1"/>
                <w:szCs w:val="1"/>
                <w:color w:val="auto"/>
              </w:rPr>
            </w:pPr>
          </w:p>
        </w:tc>
      </w:tr>
      <w:tr>
        <w:trPr>
          <w:trHeight w:val="180"/>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Wagering Services and Solutions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0" w:type="dxa"/>
            <w:vAlign w:val="bottom"/>
          </w:tcPr>
          <w:p>
            <w:pPr>
              <w:spacing w:after="0"/>
              <w:rPr>
                <w:sz w:val="1"/>
                <w:szCs w:val="1"/>
                <w:color w:val="auto"/>
              </w:rPr>
            </w:pPr>
          </w:p>
        </w:tc>
      </w:tr>
      <w:tr>
        <w:trPr>
          <w:trHeight w:val="184"/>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Gaming</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1,953.7</w:t>
            </w:r>
          </w:p>
        </w:tc>
        <w:tc>
          <w:tcPr>
            <w:tcW w:w="0" w:type="dxa"/>
            <w:vAlign w:val="bottom"/>
          </w:tcPr>
          <w:p>
            <w:pPr>
              <w:spacing w:after="0"/>
              <w:rPr>
                <w:sz w:val="1"/>
                <w:szCs w:val="1"/>
                <w:color w:val="auto"/>
              </w:rPr>
            </w:pPr>
          </w:p>
        </w:tc>
      </w:tr>
      <w:tr>
        <w:trPr>
          <w:trHeight w:val="167"/>
        </w:trPr>
        <w:tc>
          <w:tcPr>
            <w:tcW w:w="7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segment assets</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6,652.4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6,557.6</w:t>
            </w:r>
          </w:p>
        </w:tc>
        <w:tc>
          <w:tcPr>
            <w:tcW w:w="0" w:type="dxa"/>
            <w:vAlign w:val="bottom"/>
          </w:tcPr>
          <w:p>
            <w:pPr>
              <w:spacing w:after="0"/>
              <w:rPr>
                <w:sz w:val="1"/>
                <w:szCs w:val="1"/>
                <w:color w:val="auto"/>
              </w:rPr>
            </w:pPr>
          </w:p>
        </w:tc>
      </w:tr>
      <w:tr>
        <w:trPr>
          <w:trHeight w:val="184"/>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 Other</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718.3</w:t>
            </w:r>
          </w:p>
        </w:tc>
        <w:tc>
          <w:tcPr>
            <w:tcW w:w="0" w:type="dxa"/>
            <w:vAlign w:val="bottom"/>
          </w:tcPr>
          <w:p>
            <w:pPr>
              <w:spacing w:after="0"/>
              <w:rPr>
                <w:sz w:val="1"/>
                <w:szCs w:val="1"/>
                <w:color w:val="auto"/>
              </w:rPr>
            </w:pPr>
          </w:p>
        </w:tc>
      </w:tr>
      <w:tr>
        <w:trPr>
          <w:trHeight w:val="171"/>
        </w:trPr>
        <w:tc>
          <w:tcPr>
            <w:tcW w:w="7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6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7,375.7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7,275.9</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table below presents total capital expenditures for each of our segments:</w:t>
            </w: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jc w:val="right"/>
              <w:ind w:right="123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71"/>
        </w:trPr>
        <w:tc>
          <w:tcPr>
            <w:tcW w:w="71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9"/>
        </w:trPr>
        <w:tc>
          <w:tcPr>
            <w:tcW w:w="71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Capital expenditures: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36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420" w:type="dxa"/>
            <w:vAlign w:val="bottom"/>
            <w:gridSpan w:val="4"/>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0" w:type="dxa"/>
            <w:vAlign w:val="bottom"/>
          </w:tcPr>
          <w:p>
            <w:pPr>
              <w:spacing w:after="0"/>
              <w:rPr>
                <w:sz w:val="1"/>
                <w:szCs w:val="1"/>
                <w:color w:val="auto"/>
              </w:rPr>
            </w:pPr>
          </w:p>
        </w:tc>
      </w:tr>
      <w:tr>
        <w:trPr>
          <w:trHeight w:val="180"/>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Wagering Services and Solutions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84"/>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Gaming</w:t>
            </w: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167"/>
        </w:trPr>
        <w:tc>
          <w:tcPr>
            <w:tcW w:w="7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segment capital expenditures</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0" w:type="dxa"/>
            <w:vAlign w:val="bottom"/>
          </w:tcPr>
          <w:p>
            <w:pPr>
              <w:spacing w:after="0"/>
              <w:rPr>
                <w:sz w:val="1"/>
                <w:szCs w:val="1"/>
                <w:color w:val="auto"/>
              </w:rPr>
            </w:pPr>
          </w:p>
        </w:tc>
      </w:tr>
      <w:tr>
        <w:trPr>
          <w:trHeight w:val="184"/>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 Other</w:t>
            </w: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71"/>
        </w:trPr>
        <w:tc>
          <w:tcPr>
            <w:tcW w:w="7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capital expenditures</w:t>
            </w:r>
          </w:p>
        </w:tc>
        <w:tc>
          <w:tcPr>
            <w:tcW w:w="2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SUBSEQUENT EVENTS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July 4, 2025, the United States enacted H.R. 1, a new federal tax and spending bill. Many of the tax provisions included in the bill are retroactive and will have a significant favorable impact on the Company’s current year cash tax expense, primarily due to the permanent reinstatements of 100% bonus depreciation rules and a 30% of EBITDA-based interest expense deduction limitation. As a result of this change, the Company will begin utilizing the $91.2 million deferred tax asset related to interest expense previously subject to limitation. The expected reduction in cash paid taxes as a result of these new tax provisions will increase cash flow from operating activities.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July 14, 2025, the Company announced that it had entered into definitive agreements to acquire 90% of the outstanding equity interests of PPE Casino Resorts NH Holdings, LLC in Salem, New Hampshire ("Casino Salem"), for total consideration of $180.0 million in cash (the "Salem Transaction"), subject to certain working capital and other purchase price adjustments. Casino Salem is located at The Mall at Rockingham Park, which is approximately 30 minutes from downtown Boston. Pursuant to the Salem Transaction, the Company will assume responsibility for the development of a charitable gaming, entertainment and dining destination. The Company will continue to operate Chasers Poker Room in Salem and is still evaluating the impact, if any, to the existing operations.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July 22, 2025, the Board of Directors of the Company approved a common stock repurchase program of up to $500.0 million ("July 2025 Stock Repurchase Program"). The July 2025 Stock Repurchase Program includes and is not in addition to any repurchase authority remaining under the prior 2025 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741680</wp:posOffset>
            </wp:positionV>
            <wp:extent cx="712787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55" w:right="319"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report contains various "forward-looking statements" within the meaning of the Private Securities Litigation Reform Act of 1995 (the "Act"), which provides certain "safe harbor" provisions for forward-looking statements. All forward-looking statements made in this report are made pursuant to the Act. The reader is cautioned that such forward-looking statements are based on information available at the time and / or management’s good faith belief with respect to future events and are subject to risks and uncertainties that could cause actual performance or results to differ materially from those expressed in the statements. Forward-looking statements speak only as of the date that the statement was made. We assume no obligation to update forward-looking information to reflect actual results, changes in assumptions or changes in other factors affecting forward-looking information.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w:t>
      </w:r>
    </w:p>
    <w:p>
      <w:pPr>
        <w:spacing w:after="0" w:line="39"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extraordinary events, such as terrorist attacks, public health threats, civil unrest, and inclement weather, including as a result of climate change;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economic conditions on our consumers' confidence and discretionary spending or our access to credit, including the impact of inflation;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or new interpretations of, applicable tax law or rulings that could result in additional tax liabilities;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pandemics, epidemics, or outbreaks of infectious diseases, and related economic matters on our results of operations, financial conditions, and prospects;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confidence in the integrity of our core businesses or any deterioration in our reputation;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shifts in public opinion regarding gambling that could result in increased regulation of, or new restrictions on, the gaming industry;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or highly skilled personnel, as well as general disruptions in the general labor market;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significant competition, and the expectation that competition levels will increase;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preferences, attendance, wagering, and sponsorships;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equity investments, strategic alliances, and other third-party agreements;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respond to rapid technological changes in a timely manner;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concentration and evolution of slot machine and historical racing machine ("HRM") manufacturing and other technology conditions that could impose additional costs;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enter into or maintain agreements with industry constituents, including horsemen and other racetracks;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successfully focus on market access and retail operations for our sports betting business and effectively compete;</w:t>
      </w:r>
    </w:p>
    <w:p>
      <w:pPr>
        <w:spacing w:after="0" w:line="93"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online security risk, including cyber-security breaches, or loss or misuse of our stored information as a result of a breach including customers’ personal information could lead to government enforcement actions or other litigation;</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compliance with increasingly complex laws and regulations regarding data privacy and protection of personal information;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our technology services and catastrophic events and system failures disrupting our operations;</w:t>
      </w:r>
    </w:p>
    <w:p>
      <w:pPr>
        <w:spacing w:after="0" w:line="93"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identify, complete, or fully realize the benefits of, our proposed acquisitions, divestitures, development of new venues or the expansion of existing facilities on time, on budget, or as planned;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integrating recent or future acquisitions into our operations;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overruns and other uncertainties associated with the development of new venues and the expansion of existing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271145</wp:posOffset>
            </wp:positionV>
            <wp:extent cx="712787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6" w:right="319" w:bottom="1440" w:gutter="0" w:footer="0" w:header="0"/>
        </w:sectPr>
      </w:pPr>
    </w:p>
    <w:bookmarkStart w:id="28" w:name="page29"/>
    <w:bookmarkEnd w:id="28"/>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risks related to real estate ownership and significant expenditures, including risks related to environmental liabilities;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injury litigation related to injuries occurring at our racetracks;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Foreign Corrupt Practices Act or other similar laws and regulations, or applicable anti-money laundering regulations;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payment-related risks, such as risk associated with fraudulent credit card or debit card use;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 stoppages and labor problems;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pending or future legal proceedings and other actions;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highly regulated operations and changes in the regulatory environment could adversely affect our business;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in our debt facilities limiting our flexibility to operate our business;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financial ratios and other covenants in our debt facilities and other indebtedness;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to interest rates (due to inflation or otherwise);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in the credit markets or changes to our credit ratings may adversely affect our business;</w:t>
      </w:r>
    </w:p>
    <w:p>
      <w:pPr>
        <w:spacing w:after="0" w:line="93"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in our insurance costs, or inability to obtain similar insurance coverage in the future, and any inability to recover under our insurance policies for damages sustained at our properties in the event of inclement weather and casualty events;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described under the heading "Risk Factors" in our most recent Annual Report on Form 10-K and in other filings we make with the Securities and Exchange Commission.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undertake any obligation to update or revise any forward-looking statements, whether as a result of new information, future events or otherwise, except as required by law.</w:t>
      </w:r>
    </w:p>
    <w:p>
      <w:pPr>
        <w:spacing w:after="0" w:line="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information is unaudited. Tabular dollars are in millions, except per share amounts. All per share amounts assume dilution unless otherwise noted. This report should be read in conjunction with our Annual Report on Form 10-K for the year ended December 31, 2024, including Part I - Item 1A, "Risk Factors" of our Form 10-K for a discussion regarding some of the reasons that actual results may be materially different from those we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365125</wp:posOffset>
            </wp:positionV>
            <wp:extent cx="712787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Churchill Downs Incorporated ("CDI" or the "Company") has been creating extraordinary entertainment experiences for over 150 years, beginning with the Company’s most iconic and enduring asset, the Kentucky Derby. Headquartered in Louisville, Kentucky, CDI has expanded through the development of live and historical racing entertainment venues, the growth of the horse racing online wagering business, expanded pari-mutuel content and technology services to B2C platforms, and the operation and development of regional casino gaming properties.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 our business through three reportable segments: Live and Historical Racing, Wagering Services and Solutions, and Gaming. We aggregate our other businesses as well as certain corporate operations in All Other.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Indicators to Evaluate Business Results and Financial Condition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management monitors a variety of key indicators to evaluate our business results and financial condition. These indicators include changes in net revenue, operating expense, operating income, earnings per share, outstanding debt balance, operating cash flow, and capital spend.</w:t>
      </w:r>
    </w:p>
    <w:p>
      <w:pPr>
        <w:spacing w:after="0" w:line="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consolidated financial statements have been prepared in conformity with U.S. generally accepted accounting principles ("GAAP"). We also use non-GAAP measures, including EBITDA (earnings before interest, taxes, depreciation and amortization) and Adjusted EBITDA. We believe that the use of Adjusted EBITDA as a key performance measure of results of operations enables management and investors to evaluate and compare from period to period our operating performance in a meaningful and consistent manner. Our chief operating decision maker utilizes Adjusted EBITDA to evaluate segment performance, develop strategy, and allocate resources.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is defined as earnings before interest, taxes, depreciation and amortization, adjusted for the following:</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Adjusted EBITDA includes our portion of EBITDA from our equity investments and the portion of EBITDA attributable to a noncontrolling interest.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Adjusted EBITDA excludes, as applicable:</w:t>
      </w:r>
    </w:p>
    <w:p>
      <w:pPr>
        <w:spacing w:after="0" w:line="94" w:lineRule="exact"/>
        <w:rPr>
          <w:sz w:val="20"/>
          <w:szCs w:val="20"/>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expense, net which includes:</w:t>
      </w:r>
    </w:p>
    <w:p>
      <w:pPr>
        <w:spacing w:after="0" w:line="51"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Acquisition, disposition, and property sale related charges;</w:t>
      </w:r>
    </w:p>
    <w:p>
      <w:pPr>
        <w:spacing w:after="0" w:line="51"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Other transaction expense, including legal, accounting, and other deal-related expense;</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Rivers Des Plaines' impact on our investments in unconsolidated affiliates from legal reserves and transaction costs;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impairments;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on property sales;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reserves;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Pre-opening expense; and</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charges, recoveries and expenses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segment reporting, Adjusted EBITDA includes intercompany revenue and expense totals that are eliminated in the Condensed Consolidated Statements of Comprehensive Income. See the Reconciliation of Comprehensive Income to Adjusted EBITDA included in this section for additional information.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Governmental Regulations and Legislative Changes</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are subject to various federal, state, and international laws and regulations that affect our businesses. The ownership, operation, and management of our Live and Historical Racing, Wagering Services and Solutions, and Gaming segments, as well as our other operations, are subject to regulation under the laws and regulations of each of the jurisdictions in which we operate. The ownership, operation, and management of our businesses and properties are also subject to legislative actions at both the federal and state level. The following update on our regulatory and legislative actions should be read in conjunction with our Annual Report on Form 10-K for the year ended December 31, 2024, including Part I - Item 1, "Business" for a discussion of regulatory and legislative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356235</wp:posOffset>
            </wp:positionV>
            <wp:extent cx="712787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6"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i w:val="1"/>
          <w:iCs w:val="1"/>
          <w:color w:val="auto"/>
        </w:rPr>
        <w:t>Specific State Gaming Regulations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Louisiana</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Louisiana, the 2021 Historical Horse Racing Act (the "2021 HHR Act") allowed off-track betting facilities ("OTBs") to have up to 50 HRMs. On October 25, 2022, a number of individual plaintiffs associated with video poker and truck stops, filed a lawsuit in the 19th Judicial District Court in East Baton Rouge, Louisiana against certain racetracks in Louisiana, including our Fair Grounds Racecourse and Slots property, alleging that the 2021 HHR Act is unconstitutional to the extent it purports to permit historical racing in a parish without a referendum. On June 8, 2023, plaintiffs filed a motion for summary judgment on the constitutional issues raised in their complaint and a hearing was conducted on September 11, 2023.</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February 23, 2024, the judge issued a ruling in favor of plaintiffs granting summary judgment stating that: (i) historical horseracing is a new form of gaming not specifically authorized by law prior to 1996; (ii) historical horseracing may not be conducted in any parish of the state unless voters approve it through referendum; and (iii) the 2021 HHR Act that authorized historical horseracing is unconstitutional. The summary judgment, which was certified as final for purposes of appeal, was entered on March 18, 2024, and the Company, along with other interested parties including the Louisiana Racing Commission, filed a joint motion for a suspensive appeal, which was entered on March 26, 2024. The suspensive appeal allows the continued operation of HHR during the pendency of the appeal before the Louisiana Supreme Court. Oral arguments took place before the Louisiana Supreme Court on January 27, 2025, and an opinion was issued on March 21, 2025. The opinion affirmed the ruling of the District Court, which stated the 2021 HHR Act is unconstitutional, and that before historical horse racing is licensed or permitted to be conducted in a parish it first requires a voter referendum in an affected parish. The Company submitted an Application for Rehearing to the Louisiana Supreme Court, which was denied on May 8, 2025. The opinion became final and enforceable as of this date, at which time the Company discontinued its HRM operations in Louisiana.</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Subsequent to this decision, the Company moved the majority of the approximate 500 HRMs previously located in the Louisiana OTBs to other HRM venues, primarily located in Virginia. The reduction in revenues resulting from the removal of the HRMs from our OTBs will negatively impact the comparability of the 2025 results of our Louisiana operations to prior year. The results of our Louisiana operations are reported in our Gaming segment.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Results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reflects our net revenue, operating income, net income attributable to Churchill Downs Incorporated, Adjusted EBITDA, and certain other financial information:</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1"/>
        </w:trPr>
        <w:tc>
          <w:tcPr>
            <w:tcW w:w="23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4"/>
                <w:szCs w:val="14"/>
                <w:color w:val="auto"/>
              </w:rPr>
            </w:pPr>
          </w:p>
        </w:tc>
        <w:tc>
          <w:tcPr>
            <w:tcW w:w="1180" w:type="dxa"/>
            <w:vAlign w:val="bottom"/>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Net revenue</w:t>
            </w:r>
          </w:p>
        </w:tc>
        <w:tc>
          <w:tcPr>
            <w:tcW w:w="102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934.4</w:t>
            </w:r>
          </w:p>
        </w:tc>
        <w:tc>
          <w:tcPr>
            <w:tcW w:w="100" w:type="dxa"/>
            <w:vAlign w:val="bottom"/>
          </w:tcPr>
          <w:p>
            <w:pPr>
              <w:spacing w:after="0"/>
              <w:rPr>
                <w:sz w:val="14"/>
                <w:szCs w:val="14"/>
                <w:color w:val="auto"/>
              </w:rPr>
            </w:pPr>
          </w:p>
        </w:tc>
        <w:tc>
          <w:tcPr>
            <w:tcW w:w="1000" w:type="dxa"/>
            <w:vAlign w:val="bottom"/>
            <w:tcBorders>
              <w:top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890.7</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20" w:type="dxa"/>
            <w:vAlign w:val="bottom"/>
          </w:tcPr>
          <w:p>
            <w:pPr>
              <w:spacing w:after="0"/>
              <w:rPr>
                <w:sz w:val="14"/>
                <w:szCs w:val="14"/>
                <w:color w:val="auto"/>
              </w:rPr>
            </w:pPr>
          </w:p>
        </w:tc>
        <w:tc>
          <w:tcPr>
            <w:tcW w:w="3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1,577.0</w:t>
            </w:r>
          </w:p>
        </w:tc>
        <w:tc>
          <w:tcPr>
            <w:tcW w:w="100" w:type="dxa"/>
            <w:vAlign w:val="bottom"/>
          </w:tcPr>
          <w:p>
            <w:pPr>
              <w:spacing w:after="0"/>
              <w:rPr>
                <w:sz w:val="14"/>
                <w:szCs w:val="14"/>
                <w:color w:val="auto"/>
              </w:rPr>
            </w:pPr>
          </w:p>
        </w:tc>
        <w:tc>
          <w:tcPr>
            <w:tcW w:w="960" w:type="dxa"/>
            <w:vAlign w:val="bottom"/>
            <w:tcBorders>
              <w:top w:val="single" w:sz="8" w:color="auto"/>
            </w:tcBorders>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1,481.6</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w:t>
            </w:r>
          </w:p>
        </w:tc>
      </w:tr>
      <w:tr>
        <w:trPr>
          <w:trHeight w:val="18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020" w:type="dxa"/>
            <w:vAlign w:val="bottom"/>
          </w:tcPr>
          <w:p>
            <w:pPr>
              <w:spacing w:after="0"/>
              <w:rPr>
                <w:sz w:val="15"/>
                <w:szCs w:val="15"/>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327.7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330.0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462.3</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margin</w:t>
            </w: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42"/>
        </w:trPr>
        <w:tc>
          <w:tcPr>
            <w:tcW w:w="23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 attributable to Churchill</w:t>
            </w: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Downs Incorporated</w:t>
            </w:r>
          </w:p>
        </w:tc>
        <w:tc>
          <w:tcPr>
            <w:tcW w:w="102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216.9</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293.6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4"/>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102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450.9</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696.0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687.3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2025, Compared to Three Months Ended June 30, 2024</w:t>
      </w:r>
    </w:p>
    <w:p>
      <w:pPr>
        <w:spacing w:after="0" w:line="96" w:lineRule="exact"/>
        <w:rPr>
          <w:sz w:val="20"/>
          <w:szCs w:val="20"/>
          <w:color w:val="auto"/>
        </w:rPr>
      </w:pPr>
    </w:p>
    <w:p>
      <w:pPr>
        <w:jc w:val="both"/>
        <w:ind w:left="520" w:hanging="260"/>
        <w:spacing w:after="0" w:line="270" w:lineRule="auto"/>
        <w:tabs>
          <w:tab w:leader="none" w:pos="516"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Net revenue increased $43.7 million driven by a $45.2 million increase from the Live and Historical Racing segment primarily due to the opening of The Rose Gaming Resort in November 2024 and the opening of Owensboro Racing and Gaming in February 2025 and a $6.7 million increase from the Wagering Services and Solutions segment primarily due to Exacta, partially offset by an $8.2 million decrease from the Gaming segment due to the cessation of HRM operations in Louisiana and net decreases at our other wholly owned gaming properties.</w:t>
      </w:r>
    </w:p>
    <w:p>
      <w:pPr>
        <w:spacing w:after="0" w:line="50"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70" w:lineRule="auto"/>
        <w:tabs>
          <w:tab w:leader="none" w:pos="516"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Operating income decreased $2.3 million driven by an $11.1 million decrease from the Gaming segment and a $6.9 million decrease primarily due to increased SG&amp;A expenses and the asset impairment charge for the Virginia HRMs. These decreases were partially offset by a $10.5 million increase from the Live and Historical Racing segment primarily due to the opening of The Rose Gaming Resort in Northern Virginia and growth at our other HRM properties, and a $5.2 million increase in the Wagering Services and Solutions segment primarily due to Exacta.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243840</wp:posOffset>
            </wp:positionV>
            <wp:extent cx="712787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1" w:name="page32"/>
    <w:bookmarkEnd w:id="31"/>
    <w:p>
      <w:pPr>
        <w:jc w:val="both"/>
        <w:ind w:left="520" w:hanging="260"/>
        <w:spacing w:after="0" w:line="259" w:lineRule="auto"/>
        <w:tabs>
          <w:tab w:leader="none" w:pos="516"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Net income attributable to Churchill Downs Incorporated increased $7.6 million. The following impacted the comparability of the Company's net income for the three months ended June 30, 2025 compared to the three months ended June 30, 2024: a $1.8 million after-tax impairment charge in the current year quarter related to a write-off of obsolete HRMs in Virginia, partially offset by a $0.4 million after-tax decrease in transaction, pre-open and other expenses. Excluding these items, net income increased $9.0 million due to an $11.4 million after-tax increase primarily driven by lower state tax expense and the results of our operations and a $0.3 million after-tax increase in equity income from our unconsolidated affiliates, partially offset by a $2.0 million after-tax increase in interest expense associated primarily with higher outstanding debt balances and a $0.7 million after-tax increase due to a portion of the Company's income from United Tote being recognized as income attributable to a noncontrolling interest.</w:t>
      </w:r>
    </w:p>
    <w:p>
      <w:pPr>
        <w:spacing w:after="0" w:line="61"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64" w:lineRule="auto"/>
        <w:tabs>
          <w:tab w:leader="none" w:pos="516"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Adjusted EBITDA increased $6.1 million driven by a $17.3 million increase from the Live and Historical Racing segment primarily due to the opening of The Rose Gaming Resort in November 2024 in Northern Virginia and growth at our Kentucky HRM properties, a $1.8 million increase from the Wagering Services and Solutions segment primarily due to Exacta, and a $0.4 million increase from All Other. These increases were partially offset by a $13.4 million decrease from the Gaming segment driven by a higher effective state gaming tax rate at Terre Haute Casino Resort, the elimination of HRMs in Louisiana, net decreases at our other wholly owned gaming properties, and net decreases from our equity investments.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2025, Compared to Six Months Ended June 30, 2024</w:t>
      </w:r>
    </w:p>
    <w:p>
      <w:pPr>
        <w:spacing w:after="0" w:line="96" w:lineRule="exact"/>
        <w:rPr>
          <w:sz w:val="20"/>
          <w:szCs w:val="20"/>
          <w:color w:val="auto"/>
        </w:rPr>
      </w:pPr>
    </w:p>
    <w:p>
      <w:pPr>
        <w:jc w:val="both"/>
        <w:ind w:left="520" w:hanging="260"/>
        <w:spacing w:after="0" w:line="264" w:lineRule="auto"/>
        <w:tabs>
          <w:tab w:leader="none" w:pos="516"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Net revenue increased $95.4 million driven by a $72.6 million increase from the Live and Historical Racing segment primarily due to the opening of The Rose Gaming Resort in November 2024 and the opening of Owensboro Racing and Gaming in February 2025 and growth at our other HRM properties, a $15.8 million increase from the Gaming segment primarily driven by the opening of the Terre Haute Casino Resort in April 2024, partially offset by net decreases at our other wholly owned gaming properties, and a $7.0 million increase from the Wagering Services and Solutions segment primarily due to Exacta.</w:t>
      </w:r>
    </w:p>
    <w:p>
      <w:pPr>
        <w:spacing w:after="0" w:line="55"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61"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increased $6.0 million driven by a $5.4 million increase from the Live and Historical Racing segment primarily due to the opening of The Rose Gaming Resort in Northern Virginia and growth at our other HRM properties, a $6.2 million increase in the Wagering Services and Solutions segment primarily due to Exacta, and a $0.7 million decrease from the Gaming segment primarily due to net decreases at our wholly owned gaming properties, offset by the opening of the Terre Haute Casino Resort in April 2024. Further offsetting operating income was a $3.2 million increase in selling, general and administrative expenses, a $2.4 million impairment of HRMs in Virginia, and a $2.5 million decrease in All Other operating income, partially offset by a $3.2 million decrease in transaction expense, net.</w:t>
      </w:r>
    </w:p>
    <w:p>
      <w:pPr>
        <w:spacing w:after="0" w:line="58" w:lineRule="exact"/>
        <w:rPr>
          <w:rFonts w:ascii="Times New Roman" w:cs="Times New Roman" w:eastAsia="Times New Roman" w:hAnsi="Times New Roman"/>
          <w:sz w:val="14"/>
          <w:szCs w:val="14"/>
          <w:color w:val="auto"/>
        </w:rPr>
      </w:pPr>
    </w:p>
    <w:p>
      <w:pPr>
        <w:jc w:val="both"/>
        <w:ind w:left="520" w:hanging="260"/>
        <w:spacing w:after="0" w:line="258"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attributable to Churchill Downs Incorporated increased $3.9 million. The following impacted the comparability of the Company's net income for the six months ended June 30, 2025 compared to the six months ended June 30, 2024: a $5.5 million after-tax decrease in transaction, pre-open and other expenses and a $1.8 million after-tax impairment charge in the current year quarter related to a write-off of obsolete HRMs in Virginia. These were partially offset by a $6.3 million after-tax decrease in other recoveries, net primarily driven by insurance claim proceeds recorded in the prior year. Excluding these items, net income increased $4.9 million due to a $13.1 million after-tax increase primarily driven by lower state tax expense and the results of our operations, partially offset by a $4.8 million after-tax increase in interest expense associated primarily with higher outstanding debt balances, a $2.2 million after-tax decrease in equity income from our unconsolidated affiliates, and a $1.2 million after-tax increase due to a portion of the Company's income from United Tote being recognized as income attributable to a noncontrolling interest.</w:t>
      </w:r>
    </w:p>
    <w:p>
      <w:pPr>
        <w:spacing w:after="0" w:line="6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increased $8.7 million driven by an $18.5 million increase from the Live and Historical Racing segment primarily due to the opening of The Rose Gaming Resort in Northern Virginia in November 2024, and a $3.5 million increase from the Wagering Services and Solutions segment primarily due to Exacta. These increases were partially offset by a $12.7 million decrease from the Gaming segment driven by net decreases at our wholly owned gaming properties and equity investments, offset by the opening of the Terre Haute Casino Resort in April 2024, and a $0.6 million decrease from 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745490</wp:posOffset>
            </wp:positionV>
            <wp:extent cx="712787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Revenue by Segment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net revenue for our segments, including intercompany revenue:</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25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6"/>
                <w:szCs w:val="16"/>
                <w:color w:val="auto"/>
              </w:rPr>
            </w:pPr>
          </w:p>
        </w:tc>
        <w:tc>
          <w:tcPr>
            <w:tcW w:w="11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980" w:type="dxa"/>
            <w:vAlign w:val="bottom"/>
            <w:tcBorders>
              <w:top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80" w:type="dxa"/>
            <w:vAlign w:val="bottom"/>
          </w:tcPr>
          <w:p>
            <w:pPr>
              <w:spacing w:after="0"/>
              <w:rPr>
                <w:sz w:val="14"/>
                <w:szCs w:val="14"/>
                <w:color w:val="auto"/>
              </w:rPr>
            </w:pPr>
          </w:p>
        </w:tc>
        <w:tc>
          <w:tcPr>
            <w:tcW w:w="980" w:type="dxa"/>
            <w:vAlign w:val="bottom"/>
            <w:tcBorders>
              <w:top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40" w:type="dxa"/>
            <w:vAlign w:val="bottom"/>
          </w:tcPr>
          <w:p>
            <w:pPr>
              <w:spacing w:after="0"/>
              <w:rPr>
                <w:sz w:val="14"/>
                <w:szCs w:val="14"/>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817.3</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739.1</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w:t>
            </w:r>
          </w:p>
        </w:tc>
      </w:tr>
      <w:tr>
        <w:trPr>
          <w:trHeight w:val="18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Wagering Services and Solutions</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8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Gaming</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533.5</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8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All Other</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4"/>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Eliminations</w:t>
            </w: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71"/>
        </w:trPr>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934.4</w:t>
            </w:r>
          </w:p>
        </w:tc>
        <w:tc>
          <w:tcPr>
            <w:tcW w:w="80" w:type="dxa"/>
            <w:vAlign w:val="bottom"/>
          </w:tcPr>
          <w:p>
            <w:pPr>
              <w:spacing w:after="0"/>
              <w:rPr>
                <w:sz w:val="14"/>
                <w:szCs w:val="14"/>
                <w:color w:val="auto"/>
              </w:rPr>
            </w:pPr>
          </w:p>
        </w:tc>
        <w:tc>
          <w:tcPr>
            <w:tcW w:w="98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4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1,577.0</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w:t>
            </w:r>
          </w:p>
        </w:tc>
      </w:tr>
      <w:tr>
        <w:trPr>
          <w:trHeight w:val="20"/>
        </w:trPr>
        <w:tc>
          <w:tcPr>
            <w:tcW w:w="2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2025, Compared to Three Months Ended June 30, 2024</w:t>
      </w:r>
    </w:p>
    <w:p>
      <w:pPr>
        <w:spacing w:after="0" w:line="53" w:lineRule="exact"/>
        <w:rPr>
          <w:sz w:val="20"/>
          <w:szCs w:val="20"/>
          <w:color w:val="auto"/>
        </w:rPr>
      </w:pPr>
    </w:p>
    <w:p>
      <w:pPr>
        <w:jc w:val="both"/>
        <w:ind w:left="520" w:hanging="260"/>
        <w:spacing w:after="0" w:line="259"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Live and Historical Racing revenue increased $50.7 million due to a $23.8 million increase from our Virginia HRM venues, a $22.0 million increase from our Kentucky HRM venues, and a $4.9 million increase from Churchill Downs Racetrack. The Virginia HRM increase was primarily due to a $24.4 million net increase from our Northern Virginia venues from the November 2024 opening of The Rose and a $3.4 million increase from our May 2025 expansion at our Richmond venue, partially offset by a $4.0 million net decrease from our five other Virginia venues. The Kentucky HRM increase was primarily due to a $10.0 million net increase from our Western Kentucky venues, a $4.7 million net increase from our Northern Kentucky venues, a $4.1 million net increase from our Louisville venues, and a $3.2 million net increase from our Southwestern venue. The Churchill Downs Racetrack increase was primarily due to record-breaking 2025 Spring Meet wagering and growth in Derby Week wagering and licensing/sponsorship revenue that was partially offset by lower Derby Week ticketing revenue.</w:t>
      </w:r>
    </w:p>
    <w:p>
      <w:pPr>
        <w:spacing w:after="0" w:line="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Wagering Services and Solutions revenue increased $8.5 million primarily due to a $5.1 million increase from TwinSpires Horse Racing primarily due to higher Derby Week wagering and a $3.4 million increase from Exacta attributable to incremental HRMs in Virginia and New Hampshire.</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revenue decreased $8.1 million due to a $5.2 million decrease from the cessation of HRM operations in Louisiana and a $2.9 million net decrease at our nine other wholly owned gaming properties.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revenue increased $0.4 million primarily due to intercompany revenue related to the captive insurance company. All captive revenue is eliminated in consolidation.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2025, Compared to Six Months Ended June 30, 2024</w:t>
      </w:r>
    </w:p>
    <w:p>
      <w:pPr>
        <w:spacing w:after="0" w:line="96" w:lineRule="exact"/>
        <w:rPr>
          <w:sz w:val="20"/>
          <w:szCs w:val="20"/>
          <w:color w:val="auto"/>
        </w:rPr>
      </w:pPr>
    </w:p>
    <w:p>
      <w:pPr>
        <w:jc w:val="both"/>
        <w:ind w:left="520" w:hanging="260"/>
        <w:spacing w:after="0" w:line="259" w:lineRule="auto"/>
        <w:tabs>
          <w:tab w:leader="none" w:pos="516"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Live and Historical Racing revenue increased $78.2 million due to a $42.1 million increase from our Virginia HRM venues, a $30.9 million increase from our Kentucky HRM venues, and $5.2 million increase primarily at Churchill Downs Racetrack. The Virginia HRM increase was primarily due to a $46.8 million net increase from our Northern Virginia venues from the November 2024 opening of The Rose and a $2.8 million increase from our May 2025 expansion at our Richmond venue, partially offset by a $7.5 million net decrease from our five other Virginia venues. The Kentucky HRM increase was primarily due to a $15.7 million net increase from our Western Kentucky venues, a $7.4 million net increase from our Northern Kentucky venues, a $2.7 million net increase from our Louisville venues, and a $5.1 million net increase from our Southwestern venue. The Churchill Downs Racetrack increase was primarily due to recording-breaking 2025 Spring Meet wagering and growth in Derby Week wagering and licensing/sponsorship revenue that was partially offset by lower Derby Week ticketing revenue.</w:t>
      </w:r>
    </w:p>
    <w:p>
      <w:pPr>
        <w:spacing w:after="0" w:line="61" w:lineRule="exact"/>
        <w:rPr>
          <w:rFonts w:ascii="Times New Roman" w:cs="Times New Roman" w:eastAsia="Times New Roman" w:hAnsi="Times New Roman"/>
          <w:sz w:val="14"/>
          <w:szCs w:val="14"/>
          <w:i w:val="1"/>
          <w:iCs w:val="1"/>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Wagering Services and Solutions revenue increased $10.2 million due to a $6.4 million increase from Exacta attributable to incremental HRMs in Virginia and New Hampshire and a $5.8 million increase in TwinSpires Horse Racing primarily due to Derby Week wagering. These increases were partially offset by a $2.0 million decrease from our sports betting business.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revenue increased $15.9 million due to a $30.3 million increase primarily attributable to the opening of the Terre Haute Casino Resort in April 2024, partially offset by a $14.6 million net decrease at our nine other wholly owned gaming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236220</wp:posOffset>
            </wp:positionV>
            <wp:extent cx="712787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33" w:name="page34"/>
    <w:bookmarkEnd w:id="33"/>
    <w:p>
      <w:pPr>
        <w:ind w:left="520" w:hanging="260"/>
        <w:spacing w:after="0"/>
        <w:tabs>
          <w:tab w:leader="none" w:pos="520" w:val="left"/>
        </w:tabs>
        <w:numPr>
          <w:ilvl w:val="0"/>
          <w:numId w:val="1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All Other revenue increased due to intercompany revenue related to the captive insurance company that was established in April 2024. All captive revenue is eliminated in consolidation.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Operating Expense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is a summary of our consolidated operating expense:</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2"/>
        </w:trPr>
        <w:tc>
          <w:tcPr>
            <w:tcW w:w="38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Gaming taxes and purses</w:t>
            </w: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212.9</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190.7</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378.1</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180"/>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2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174.3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80"/>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Content expense</w:t>
            </w:r>
          </w:p>
        </w:tc>
        <w:tc>
          <w:tcPr>
            <w:tcW w:w="2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2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57.4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115.4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117.0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80"/>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advertising</w:t>
            </w:r>
          </w:p>
        </w:tc>
        <w:tc>
          <w:tcPr>
            <w:tcW w:w="2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Maintenance, insurance and utilities</w:t>
            </w:r>
          </w:p>
        </w:tc>
        <w:tc>
          <w:tcPr>
            <w:tcW w:w="2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other taxes</w:t>
            </w:r>
          </w:p>
        </w:tc>
        <w:tc>
          <w:tcPr>
            <w:tcW w:w="2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Transaction expense, net</w:t>
            </w:r>
          </w:p>
        </w:tc>
        <w:tc>
          <w:tcPr>
            <w:tcW w:w="2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Asset impairments</w:t>
            </w:r>
          </w:p>
        </w:tc>
        <w:tc>
          <w:tcPr>
            <w:tcW w:w="2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4"/>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129.6</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71"/>
        </w:trPr>
        <w:tc>
          <w:tcPr>
            <w:tcW w:w="3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expense</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606.7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560.7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1,114.7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1,025.3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w:t>
            </w: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and Six Months Ended June 30, 2025, Compared to Three and Six Months Ended June 30, 2024</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Operating expenses increased $46.0 million and $89.4 million for the three and six months ended June 30, 2025 compared to June 30, 2024 primarily due to the opening of Terre Haute Casino Resort in Indiana in April 2024 and the hotel in May 2024, The Rose Gaming Resort in Virginia in November 2024, and Owensboro Racing and Gaming in February 2025. Asset impairments for the three and six months ended June 30, 2025 include a $2.4 million write-off in the second quarter of 2025 of HRMs in Virginia that are no longer in use.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Adjusted EBITDA</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that the use of Adjusted EBITDA as a key performance measure of the results of operations enables management and investors to evaluate and compare from period to period our operating performance in a meaningful and consistent manner. Adjusted EBITDA is a supplemental measure of our performance that is not required by or presented in accordance with GAAP. Adjusted EBITDA should not be considered as an alternative to operating income as an indicator of performance, as an alternative to cash flows from operating activities as a measure of liquidity, or as an alternative to any other measure provided in accordance with GAAP.</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2"/>
        </w:trPr>
        <w:tc>
          <w:tcPr>
            <w:tcW w:w="32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Live and Historical Racing</w:t>
            </w:r>
          </w:p>
        </w:tc>
        <w:tc>
          <w:tcPr>
            <w:tcW w:w="960" w:type="dxa"/>
            <w:vAlign w:val="bottom"/>
            <w:tcBorders>
              <w:top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100" w:type="dxa"/>
            <w:vAlign w:val="bottom"/>
          </w:tcPr>
          <w:p>
            <w:pPr>
              <w:spacing w:after="0"/>
              <w:rPr>
                <w:sz w:val="14"/>
                <w:szCs w:val="14"/>
                <w:color w:val="auto"/>
              </w:rPr>
            </w:pPr>
          </w:p>
        </w:tc>
        <w:tc>
          <w:tcPr>
            <w:tcW w:w="960" w:type="dxa"/>
            <w:vAlign w:val="bottom"/>
            <w:tcBorders>
              <w:top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4"/>
                <w:szCs w:val="14"/>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120" w:type="dxa"/>
            <w:vAlign w:val="bottom"/>
          </w:tcPr>
          <w:p>
            <w:pPr>
              <w:spacing w:after="0"/>
              <w:rPr>
                <w:sz w:val="14"/>
                <w:szCs w:val="14"/>
                <w:color w:val="auto"/>
              </w:rPr>
            </w:pPr>
          </w:p>
        </w:tc>
        <w:tc>
          <w:tcPr>
            <w:tcW w:w="980" w:type="dxa"/>
            <w:vAlign w:val="bottom"/>
            <w:tcBorders>
              <w:top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18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Wagering Services and Solutions</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4"/>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Gaming</w:t>
            </w: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67"/>
        </w:trPr>
        <w:tc>
          <w:tcPr>
            <w:tcW w:w="3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Segment Adjusted EBITDA</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738.6</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84"/>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All Other</w:t>
            </w: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71"/>
        </w:trPr>
        <w:tc>
          <w:tcPr>
            <w:tcW w:w="3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Adjusted EBITDA</w:t>
            </w: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450.9</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
        </w:trPr>
        <w:tc>
          <w:tcPr>
            <w:tcW w:w="3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302895</wp:posOffset>
            </wp:positionV>
            <wp:extent cx="712787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2025, Compared to Three Months Ended June 30, 2024</w:t>
      </w:r>
    </w:p>
    <w:p>
      <w:pPr>
        <w:spacing w:after="0" w:line="53" w:lineRule="exact"/>
        <w:rPr>
          <w:sz w:val="20"/>
          <w:szCs w:val="20"/>
          <w:color w:val="auto"/>
        </w:rPr>
      </w:pPr>
    </w:p>
    <w:p>
      <w:pPr>
        <w:jc w:val="both"/>
        <w:ind w:left="520" w:hanging="260"/>
        <w:spacing w:after="0" w:line="259"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Live and Historical Racing Adjusted EBITDA increased $17.3 million primarily due to a $15.3 million increase from our Kentucky HRM venues and a $3.0 million increase from our Virginia HRM venues, partially offset by a $1.0 million decrease at Churchill Downs Racetrack. The Kentucky HRM increase was primarily due to a $5.2 million net increase from our Louisville venues, a $4.3 million net increase from our Northern Kentucky venues, a $3.6 million net increase from our Western Kentucky venues, and a $2.2 million net increase from our Southwestern venue. The Virginia HRM increase was primarily due to a $5.6 million net increase from our Northern Virginia venues and a $1.8 million increase from our May 2025 expansion at our Richmond venue, partially offset by a $3.0 million net decrease from our five other Virginia venues and a $1.4 million decrease from increased handle tax. The Churchill Downs Racetrack decrease was primarily due to lower Derby Week ticketing revenue and higher pari-mutuel taxes that were partially offset by increased wagering and licensing/sponsorship revenue.</w:t>
      </w:r>
    </w:p>
    <w:p>
      <w:pPr>
        <w:spacing w:after="0" w:line="23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Wagering Services and Solutions Adjusted EBITDA increased $1.8 million due to a $3.4 million increase from Exacta attributable to incremental HRMs in Virginia and New Hampshire and a $0.8 million increase from our sports betting business, partially offset by a $2.4 million decrease from TwinSpires Horse Racing due to the increased legal expenses and increased marketing related to Derby Week.</w:t>
      </w:r>
    </w:p>
    <w:p>
      <w:pPr>
        <w:spacing w:after="0" w:line="50"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Adjusted EBITDA decreased $13.4 million due to a $11.6 million decrease from our wholly owned gaming properties and a $1.8 million decrease from our equity investments. The decrease from our eight wholly owned gaming properties was due to a $7.0 million decrease at Terre Haute Casino Resort primarily from a higher effective state gaming tax rate in the current year as expected, a $1.4 million net decrease from the elimination of HRMs in Louisiana, and a $3.2 million net decrease at our other wholly owned gaming properties. The decrease from our equity investments was due to a $2.6 million decrease from Rivers Des Plaines, partially offset by a $0.8 million increase from Miami Valley Gaming.</w:t>
      </w:r>
    </w:p>
    <w:p>
      <w:pPr>
        <w:spacing w:after="0" w:line="5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Adjusted EBITDA increased $0.4 million primarily due to the reduction of corporate legal-related fees in the current quarter, partially offset by increased all other corporate-related expenses.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2025, Compared to Six Months Ended June 30, 2024</w:t>
      </w:r>
    </w:p>
    <w:p>
      <w:pPr>
        <w:spacing w:after="0" w:line="96" w:lineRule="exact"/>
        <w:rPr>
          <w:sz w:val="20"/>
          <w:szCs w:val="20"/>
          <w:color w:val="auto"/>
        </w:rPr>
      </w:pPr>
    </w:p>
    <w:p>
      <w:pPr>
        <w:jc w:val="both"/>
        <w:ind w:left="520" w:hanging="260"/>
        <w:spacing w:after="0" w:line="259" w:lineRule="auto"/>
        <w:tabs>
          <w:tab w:leader="none" w:pos="516"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Live and Historical Racing Adjusted EBITDA increased $18.5 million due to a $18.5 million increase from our Kentucky HRM venues and a $1.0 million increase from our Virginia HRM venues, partially offset by a $1.0 million decrease primarily from Churchill Downs Racetrack. The Kentucky HRM increase was primarily due to a $5.0 million net increase from our Louisville venues, a $5.8 million net increase from our Northern Kentucky venues, a $4.1 million net increase from our Western Kentucky venues, and a $3.6 million net increase from our Southwestern venues. The Virginia HRM increase was primarily due to a $9.2 million net increase from our Northern Virginia venues and a $1.0 million increase from our May 2025 expansion at our Richmond venue, partially offset by a $9.2 million net decrease from our five other Virginia venues. The Churchill Downs Racetrack decrease was primarily due to lower Derby Week ticketing revenue and higher pari-mutuel taxes that were partially offset by increased wagering and licensing/sponsorship revenue.</w:t>
      </w:r>
    </w:p>
    <w:p>
      <w:pPr>
        <w:spacing w:after="0" w:line="61" w:lineRule="exact"/>
        <w:rPr>
          <w:rFonts w:ascii="Times New Roman" w:cs="Times New Roman" w:eastAsia="Times New Roman" w:hAnsi="Times New Roman"/>
          <w:sz w:val="14"/>
          <w:szCs w:val="14"/>
          <w:i w:val="1"/>
          <w:iCs w:val="1"/>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Wagering Services and Solutions Adjusted EBITDA increased $3.5 million due to a $7.1 million increase from Exacta attributable to incremental HRMs in Virginia and New Hampshire, partially offset by a $3.4 million decrease attributable to TwinSpires Horse Racing and a $0.2 million decrease from our sports betting business.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Adjusted EBITDA decreased $12.7 million due to a $6.6 million decrease from our wholly owned gaming properties and a $6.1 million decrease from our equity investments. The decrease from our wholly owned gaming properties was due to a $11.1 million decrease from nine of our properties, partially offset by a $4.5 million increase from the opening of the Terre Haute Casino Resort in April 2024. The decrease from our equity investments was due to a $6.8 million decrease from Rivers Des Plaines, partially offset by a $0.7 million increase from Miami Valley Gaming.</w:t>
      </w:r>
    </w:p>
    <w:p>
      <w:pPr>
        <w:spacing w:after="0" w:line="5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Adjusted EBITDA decreased $0.6 million driven primarily by increased corporate administrative expenses, offset by a reduction in corporate legal-related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271145</wp:posOffset>
            </wp:positionV>
            <wp:extent cx="712787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of Comprehensive Income to Adjusted EBITDA</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4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Borders>
              <w:bottom w:val="single" w:sz="8" w:color="auto"/>
            </w:tcBorders>
            <w:gridSpan w:val="7"/>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60" w:type="dxa"/>
            <w:vAlign w:val="bottom"/>
          </w:tcPr>
          <w:p>
            <w:pPr>
              <w:spacing w:after="0"/>
              <w:rPr>
                <w:sz w:val="15"/>
                <w:szCs w:val="15"/>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8"/>
        </w:trPr>
        <w:tc>
          <w:tcPr>
            <w:tcW w:w="416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Net income and comprehensive income attributable to Churchill Downs</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Incorporated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1"/>
              </w:rPr>
              <w:t>7.6</w:t>
            </w:r>
          </w:p>
        </w:tc>
        <w:tc>
          <w:tcPr>
            <w:tcW w:w="820" w:type="dxa"/>
            <w:vAlign w:val="bottom"/>
            <w:gridSpan w:val="2"/>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3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w w:val="96"/>
              </w:rPr>
              <w:t>(0.2)</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1"/>
              </w:rPr>
              <w:t>7.4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1"/>
              </w:rPr>
              <w:t>8.6</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1"/>
              </w:rPr>
              <w:t>0.7</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provision</w:t>
            </w:r>
          </w:p>
        </w:tc>
        <w:tc>
          <w:tcPr>
            <w:tcW w:w="1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6"/>
              </w:rPr>
              <w:t>(9.7)</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6"/>
              </w:rPr>
              <w:t>(1.7)</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w:t>
            </w:r>
          </w:p>
        </w:tc>
        <w:tc>
          <w:tcPr>
            <w:tcW w:w="1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6"/>
              </w:rPr>
              <w:t>(5.1)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expense, net</w:t>
            </w:r>
          </w:p>
        </w:tc>
        <w:tc>
          <w:tcPr>
            <w:tcW w:w="1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1"/>
              </w:rPr>
              <w:t>5.1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 impairments</w:t>
            </w:r>
          </w:p>
        </w:tc>
        <w:tc>
          <w:tcPr>
            <w:tcW w:w="1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1"/>
              </w:rPr>
              <w:t>2.4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Transaction expense, net</w:t>
            </w:r>
          </w:p>
        </w:tc>
        <w:tc>
          <w:tcPr>
            <w:tcW w:w="1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1"/>
              </w:rPr>
              <w:t>0.5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Interest, depreciation and amortization expense related to equity</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investments</w:t>
            </w:r>
          </w:p>
        </w:tc>
        <w:tc>
          <w:tcPr>
            <w:tcW w:w="1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6"/>
              </w:rPr>
              <w:t>(0.9)</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Rivers Des Plaines' legal reserves and transactions costs</w:t>
            </w:r>
          </w:p>
        </w:tc>
        <w:tc>
          <w:tcPr>
            <w:tcW w:w="160" w:type="dxa"/>
            <w:vAlign w:val="bottom"/>
          </w:tcPr>
          <w:p>
            <w:pPr>
              <w:spacing w:after="0"/>
              <w:rPr>
                <w:sz w:val="15"/>
                <w:szCs w:val="15"/>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6"/>
              </w:rPr>
              <w:t>(0.3)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charges and recoveries, net</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w w:val="96"/>
              </w:rPr>
              <w:t>(0.9)</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adjustments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w w:val="96"/>
              </w:rPr>
              <w:t>(1.3)</w:t>
            </w: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401.2</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396.7</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450.9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color w:val="auto"/>
                <w:w w:val="91"/>
              </w:rPr>
              <w:t>6.1</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is a summary of our overall financial position:</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June 30, 2025</w:t>
            </w: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7"/>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7,375.7</w:t>
            </w:r>
          </w:p>
        </w:tc>
        <w:tc>
          <w:tcPr>
            <w:tcW w:w="100" w:type="dxa"/>
            <w:vAlign w:val="bottom"/>
          </w:tcPr>
          <w:p>
            <w:pPr>
              <w:spacing w:after="0"/>
              <w:rPr>
                <w:sz w:val="14"/>
                <w:szCs w:val="14"/>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7,275.9</w:t>
            </w:r>
          </w:p>
        </w:tc>
        <w:tc>
          <w:tcPr>
            <w:tcW w:w="10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6,311.6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6,172.6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1,041.6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1,083.6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 items affecting the comparability of our Condensed Consolidated Balance Sheets include:</w:t>
      </w:r>
    </w:p>
    <w:p>
      <w:pPr>
        <w:spacing w:after="0" w:line="94" w:lineRule="exact"/>
        <w:rPr>
          <w:sz w:val="20"/>
          <w:szCs w:val="20"/>
          <w:color w:val="auto"/>
        </w:rPr>
      </w:pPr>
    </w:p>
    <w:p>
      <w:pPr>
        <w:ind w:left="520" w:hanging="260"/>
        <w:spacing w:after="0" w:line="287"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increased $99.8 million driven by increased capital expenditures primarily at Churchill Downs Racetrack, Owensboro Racing and Gaming, and at our Richmond and Henrico Virginia HRM locations. Current assets also increased, driven by restricted cash and accounts receivable.</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liabilities increased $139.0 million driven primarily by an increase in the outstanding balance on the Revolver, which is included in long-term debt, and increases in income taxes payable and accounts payable. These increases were partially offset by decreased current deferred revenue due to the recognition of revenue related to the 151st Kentucky Derby, and a decrease in dividends payable due to the payment of the annual dividend.</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equity decreased $42.0 million driven by share repurchases, partially offset by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277495</wp:posOffset>
            </wp:positionV>
            <wp:extent cx="712787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is a summary of our liquidity and cash flows: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0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4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2"/>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6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activities</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center"/>
              <w:ind w:left="789"/>
              <w:spacing w:after="0"/>
              <w:rPr>
                <w:sz w:val="20"/>
                <w:szCs w:val="20"/>
                <w:color w:val="auto"/>
              </w:rPr>
            </w:pPr>
            <w:r>
              <w:rPr>
                <w:rFonts w:ascii="Times New Roman" w:cs="Times New Roman" w:eastAsia="Times New Roman" w:hAnsi="Times New Roman"/>
                <w:sz w:val="14"/>
                <w:szCs w:val="14"/>
                <w:color w:val="auto"/>
              </w:rPr>
              <w:t>486.1</w:t>
            </w:r>
          </w:p>
        </w:tc>
        <w:tc>
          <w:tcPr>
            <w:tcW w:w="100" w:type="dxa"/>
            <w:vAlign w:val="bottom"/>
          </w:tcPr>
          <w:p>
            <w:pPr>
              <w:spacing w:after="0"/>
              <w:rPr>
                <w:sz w:val="14"/>
                <w:szCs w:val="14"/>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center"/>
              <w:ind w:left="789"/>
              <w:spacing w:after="0"/>
              <w:rPr>
                <w:sz w:val="20"/>
                <w:szCs w:val="20"/>
                <w:color w:val="auto"/>
              </w:rPr>
            </w:pPr>
            <w:r>
              <w:rPr>
                <w:rFonts w:ascii="Times New Roman" w:cs="Times New Roman" w:eastAsia="Times New Roman" w:hAnsi="Times New Roman"/>
                <w:sz w:val="14"/>
                <w:szCs w:val="14"/>
                <w:color w:val="auto"/>
              </w:rPr>
              <w:t>471.7</w:t>
            </w:r>
          </w:p>
        </w:tc>
        <w:tc>
          <w:tcPr>
            <w:tcW w:w="80" w:type="dxa"/>
            <w:vAlign w:val="bottom"/>
          </w:tcPr>
          <w:p>
            <w:pPr>
              <w:spacing w:after="0"/>
              <w:rPr>
                <w:sz w:val="14"/>
                <w:szCs w:val="14"/>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80"/>
        </w:trPr>
        <w:tc>
          <w:tcPr>
            <w:tcW w:w="6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Investing activities</w:t>
            </w:r>
          </w:p>
        </w:tc>
        <w:tc>
          <w:tcPr>
            <w:tcW w:w="400" w:type="dxa"/>
            <w:vAlign w:val="bottom"/>
          </w:tcPr>
          <w:p>
            <w:pPr>
              <w:spacing w:after="0"/>
              <w:rPr>
                <w:sz w:val="15"/>
                <w:szCs w:val="15"/>
                <w:color w:val="auto"/>
              </w:rPr>
            </w:pPr>
          </w:p>
        </w:tc>
        <w:tc>
          <w:tcPr>
            <w:tcW w:w="13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(166.1)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(290.1)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r>
      <w:tr>
        <w:trPr>
          <w:trHeight w:val="184"/>
        </w:trPr>
        <w:tc>
          <w:tcPr>
            <w:tcW w:w="6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Financing activities</w:t>
            </w:r>
          </w:p>
        </w:tc>
        <w:tc>
          <w:tcPr>
            <w:tcW w:w="400" w:type="dxa"/>
            <w:vAlign w:val="bottom"/>
          </w:tcPr>
          <w:p>
            <w:pPr>
              <w:spacing w:after="0"/>
              <w:rPr>
                <w:sz w:val="16"/>
                <w:szCs w:val="16"/>
                <w:color w:val="auto"/>
              </w:rPr>
            </w:pPr>
          </w:p>
        </w:tc>
        <w:tc>
          <w:tcPr>
            <w:tcW w:w="13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(287.1)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(173.5)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2025, Compared to the Six Months Ended June 30, 2024</w:t>
      </w:r>
    </w:p>
    <w:p>
      <w:pPr>
        <w:spacing w:after="0" w:line="53" w:lineRule="exact"/>
        <w:rPr>
          <w:sz w:val="20"/>
          <w:szCs w:val="20"/>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flows provided by operating activities increased $14.4 million driven by a decrease in cash paid income taxes and interest, partially offset by decreased distributions from our unconsolidated affiliates. We anticipate that cash flows from operations and availability of borrowings under our credit facility over the next twelve months will be adequate to fund our business operations and capital expenditures.</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flows used in investing activities decreased $124.0 million driven by a decrease in capital expenditures in 2025.</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Cash flows used in financing activities increased $113.6 million primarily driven by share repurchases in 2025.</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announced several project capital investments, including the following: Starting Gate Pavilion and Courtyard (completed in April 2025) as well as enhancements to The Mansion and Finish Line Suites at Churchill Downs Racetrack; Marshall Yards Racing and Gaming in Southwestern Kentucky; expansion of the Richmond, Virginia HRM venue; and the Roseshire HRM entertainment venue in Henrico County, Virginia. We currently expect our project capital to be approximately $250.0 to $290.0 million in 2025, although this amount may vary significantly based on the timing of work completed, unanticipated delays, and timing of payments to third parties.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Repurchase Program</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12, 2025, the Board of Directors of the Company approved a common stock repurchase program of up to $500.0 million (the "2025 Stock Repurchase Program"). The 2025 Stock Repurchase Program includes and is not in addition to any unspent amount remaining under the prior authorization. Share repurchases may be made at management's discretion from time to time in the open market (either with or without a 10b5-1 plan) or through privately negotiated transactions. The repurchase program has no time limit and may be suspended or discontinued at any time. We had approximately $184.2 million of repurchase authority remaining under the 2025 Stock Repurchase Program at June 30, 2025, based on trade date.</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2, 2024, the Company closed on an agreement, dated December 18, 2023, with an affiliate of The Duchossois Group ("TDG") to repurchase 1,000,000 shares of the Company’s common stock, for $123.75 per share in a privately negotiated transaction for an aggregate purchase price of $123.8 million. This represented a discount of 4.03% to the closing price on December 15, 2023 of $128.95. The repurchase of shares of common stock from TDG was approved by the Company's Board of Directors separately from and did not reduce the authorized amount remaining under the existing common stock repurchase program. The repurchase of the shares was funded using available cash and borrowings under the Company’s senior secured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1230630</wp:posOffset>
            </wp:positionV>
            <wp:extent cx="712787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 and Indebtedness</w:t>
            </w:r>
          </w:p>
        </w:tc>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2"/>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our debt outstanding:</w:t>
            </w: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2"/>
        </w:trPr>
        <w:tc>
          <w:tcPr>
            <w:tcW w:w="5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40" w:type="dxa"/>
            <w:vAlign w:val="bottom"/>
          </w:tcPr>
          <w:p>
            <w:pPr>
              <w:spacing w:after="0"/>
              <w:rPr>
                <w:sz w:val="17"/>
                <w:szCs w:val="17"/>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7"/>
                <w:szCs w:val="17"/>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Pr>
          <w:p>
            <w:pPr>
              <w:spacing w:after="0"/>
              <w:rPr>
                <w:sz w:val="17"/>
                <w:szCs w:val="17"/>
                <w:color w:val="auto"/>
              </w:rPr>
            </w:pPr>
          </w:p>
        </w:tc>
        <w:tc>
          <w:tcPr>
            <w:tcW w:w="158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Revolver</w:t>
            </w: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504.0</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B-1 due 2028</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A due 2029</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Senior Notes</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 Senior Notes</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Senior Notes</w:t>
            </w: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3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4,938.7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r>
      <w:tr>
        <w:trPr>
          <w:trHeight w:val="184"/>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 net of current maturities</w:t>
            </w:r>
          </w:p>
        </w:tc>
        <w:tc>
          <w:tcPr>
            <w:tcW w:w="3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4,970.5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4,875.6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r>
      <w:tr>
        <w:trPr>
          <w:trHeight w:val="184"/>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costs, net of premiums and discounts</w:t>
            </w: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debt</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4,942.2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4,844.1</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June 30, 2025, the Company’s senior secured credit facility (as amended from time to time, the "Credit Agreement") consisted of a $1.2 billion revolving credit facility (the "Revolver"), $287.2 million senior secured term loan B-1 (the "Term Loan B-1"), $1.2 billion senior secured term loan A (the "Term Loan A"), and $100.0 million swing line commitment. On July 3, 2024, the Company closed an amendment of the Credit Agreement to (i) extend the maturity date of the Revolver and Term Loan A from 2027 to 2029 and (ii) amend certain other provisions to the Credit Agreement.</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14, 2025, the Company announced that it closed the seventh amendment of the Credit Agreement. The seventh amendment to the Credit Agreement (i) reduced the interest rate margin applicable to the Term Loan B-1 by 0.25%, from Secured Overnight Financing Rate ("SOFR") plus 200 basis points to SOFR plus 175 basis points, (ii) eliminated the 0.10% credit spread adjustment previously applicable to the Term Loan B-1, and (iii) made certain other amendments to the Credit Agreement, as set forth therein.</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Term Loan B-1 requires quarterly payments of 0.25% of the original $300.0 million balance. The Term Loan B-1 may be subject to additional mandatory prepayment from excess cash flow on an annual basis per the provisions of the Credit Agreement.</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Revolver and Term Loan A bear interest at SOFR plus 10 basis points, plus a variable applicable margin which is determined by the Company's net leverage ratio. As of June 30, 2025, that applicable margin was 150 basis points which was based on the pricing grid in the Credit Agreement. The Company had $686.9 million available borrowing capacity, after consideration of $9.1 million in outstanding letters of credit, under the Revolver as of June 30,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required to pay a commitment fee on the unused portion of the Revolver as determined by a pricing grid based on the consolidated total net secured leverage ratio of the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period ended June 30, 2025, the Company's commitment fee rate was 0.25%.</w:t>
      </w:r>
    </w:p>
    <w:p>
      <w:pPr>
        <w:spacing w:after="0" w:line="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estimated contractual payments, including interest, under the Credit Agreement for the next twelve months are estimated to be $178.0 million assuming no change in the weighted average borrowing rate of 6.0%, which was in place as of June 30, 2025. During the six months ended June 30, 2025, we had repayments of principal and interest on the Credit Agreement of $603.8 million.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2027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2025, we had $600.0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243840</wp:posOffset>
            </wp:positionV>
            <wp:extent cx="712787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i w:val="1"/>
          <w:iCs w:val="1"/>
          <w:color w:val="auto"/>
        </w:rPr>
        <w:t>2028 Senior Notes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June 30, 2025, we had a total of $700.0 million in aggregate principal amount of 4.750% senior unsecured notes (the "2028 Senior Notes") maturing on January 15, 2028. The 2028 Senior Notes consist of $500.0 million notes issued at par and $200.0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the 2028 Senior Notes at redemption prices set forth in the Indenture.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2030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2025, we had $1.2 billion in aggregate principal amount of 5.750% senior unsecured notes that mature on April 13, 2030 (the "2030 Senior Notes"). The 2030 Senior Notes were issued at par in a private offering to qualified institutional buyers, with interest payable in arrears on April 1st and October 1st of each year, commencing on October 1st, 2022. The Company may redeem some or all the 2030 Senior Notes at redemption prices set forth in the Indenture.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2031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2025, we had $600.0 million in aggregate principal amount of 6.750% senior unsecured notes that mature on April 25, 2031 (the "2031 Senior Notes"). The 2031 Senior Notes were issued at par in a private offering to qualified institutional buyers, with interest payable in arrears on May 1st and November 1st of each year, commencing on November 1st, 2023. The Company may redeem some or all of the 2031 Senior Notes at redemption prices set forth in the Indenture.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leases certain real estate and other property. Most of our building and land leases have terms of 2 to 10 years and include one or more options to renew, with renewal terms that can extend the lease term from 1 to 5 years or more. Certain of our lease agreements include lease payments based on a percentage of net gaming revenue and others include rental payment adjustments periodically for inflation. As of June 30, 2025, minimum rent payable under operating leases was $36.4 million, with $7.1 million due in the next twelve months. As of June 30, 2025, minimum rent payable accounted for as financing obligations was $52.5 million, with $5.1 million due in the next twelve months.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Contractual Obligations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other contractual obligations with commitments of $10.9 million, $1.5 million of which is due within the next twelve months.</w:t>
      </w:r>
    </w:p>
    <w:p>
      <w:pPr>
        <w:spacing w:after="0" w:line="134" w:lineRule="exact"/>
        <w:rPr>
          <w:sz w:val="20"/>
          <w:szCs w:val="20"/>
          <w:color w:val="auto"/>
        </w:rPr>
      </w:pPr>
    </w:p>
    <w:p>
      <w:pPr>
        <w:ind w:right="5540"/>
        <w:spacing w:after="0" w:line="381" w:lineRule="auto"/>
        <w:rPr>
          <w:sz w:val="20"/>
          <w:szCs w:val="20"/>
          <w:color w:val="auto"/>
        </w:rPr>
      </w:pPr>
      <w:r>
        <w:rPr>
          <w:rFonts w:ascii="Times New Roman" w:cs="Times New Roman" w:eastAsia="Times New Roman" w:hAnsi="Times New Roman"/>
          <w:sz w:val="14"/>
          <w:szCs w:val="14"/>
          <w:b w:val="1"/>
          <w:bCs w:val="1"/>
          <w:color w:val="auto"/>
        </w:rPr>
        <w:t xml:space="preserve">ITEM 3. QUANTITATIVE AND QUALITATIVE DISCLOSURES ABOUT MARKET RISK </w:t>
      </w:r>
      <w:r>
        <w:rPr>
          <w:rFonts w:ascii="Times New Roman" w:cs="Times New Roman" w:eastAsia="Times New Roman" w:hAnsi="Times New Roman"/>
          <w:sz w:val="14"/>
          <w:szCs w:val="14"/>
          <w:color w:val="auto"/>
        </w:rPr>
        <w:t>We are exposed to market risks arising from adverse changes in:</w:t>
      </w: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trends;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and credit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economic trends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business is sensitive to consumer confidence and reductions in consumers' discretionary spending, which may result from challenging economic conditions, inflation, unemployment levels and other changes in the economy. Demand for entertainment and leisure activities is sensitive to consumers’ disposable incomes, which can be adversely affected by economic conditions and unemployment levels. This could result in fewer patrons visiting our racetracks, HRM entertainment venues, online wagering sites, and gaming facilities, and/or may impact our customers’ ability to wager with the same frequency and to maintain wagering levels.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and credit risk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primary exposure to market risk relates to changes in interest rates. On June 30, 2025, we had $1.9 billion outstanding under our Credit Agreement, which bears interest at SOFR based variable rates. We are exposed to market risk on variable rate debt due to potential adverse changes in these rates. Assuming the outstanding balance of the debt facility remains constant, a one-percentage point increase in the SOFR rate would reduce net income and cash flows from operating activities by $14.4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243840</wp:posOffset>
            </wp:positionV>
            <wp:extent cx="712787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9" w:name="page40"/>
    <w:bookmarkEnd w:id="39"/>
    <w:p>
      <w:pPr>
        <w:ind w:left="4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maintain disclosure controls and procedures designed to ensure that information required to be disclosed in our reports that we file under the Securities Exchange Act of 1934, as amended,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June 30, 2025. Based upon the foregoing, our Chief Executive Officer and Chief Financial Officer concluded that our disclosure controls and procedures were effective.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There has been no change in our internal controls over financial reporting during our most recent fiscal quarter that has materially affected, or is reasonably likely to materially affect, our internal control over financial reporting. Our process for evaluating controls and procedures is continuous and encompasses constant improvement of the design and effectiveness of established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243840</wp:posOffset>
            </wp:positionV>
            <wp:extent cx="712787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0" w:name="page41"/>
    <w:bookmarkEnd w:id="40"/>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PART II.</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are involved in ordinary routine litigation matters which are incidental to our business. Refer to Note 13, Contingencies, in the notes to our condensed consolidated financial statements, for further information.</w:t>
      </w:r>
    </w:p>
    <w:p>
      <w:pPr>
        <w:spacing w:after="0" w:line="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our risk factors previously disclosed in Part I, Item 1A of our Annual Report on Form 10-K for the year ended December 31, 2024.</w:t>
      </w:r>
    </w:p>
    <w:p>
      <w:pPr>
        <w:spacing w:after="0" w:line="17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Common Stock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with respect to shares of common stock that we repurchased during the quarter ended June 30, 2025:</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Approximate Dollar Value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40" w:type="dxa"/>
            <w:vAlign w:val="bottom"/>
          </w:tcPr>
          <w:p>
            <w:pPr>
              <w:spacing w:after="0"/>
              <w:rPr>
                <w:sz w:val="12"/>
                <w:szCs w:val="12"/>
                <w:color w:val="auto"/>
              </w:rPr>
            </w:pPr>
          </w:p>
        </w:tc>
        <w:tc>
          <w:tcPr>
            <w:tcW w:w="1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00" w:type="dxa"/>
            <w:vAlign w:val="bottom"/>
          </w:tcPr>
          <w:p>
            <w:pPr>
              <w:spacing w:after="0"/>
              <w:rPr>
                <w:sz w:val="12"/>
                <w:szCs w:val="12"/>
                <w:color w:val="auto"/>
              </w:rPr>
            </w:pPr>
          </w:p>
        </w:tc>
        <w:tc>
          <w:tcPr>
            <w:tcW w:w="1760" w:type="dxa"/>
            <w:vAlign w:val="bottom"/>
            <w:gridSpan w:val="2"/>
          </w:tcPr>
          <w:p>
            <w:pPr>
              <w:jc w:val="right"/>
              <w:ind w:right="9"/>
              <w:spacing w:after="0" w:line="143"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4"/>
        </w:trPr>
        <w:tc>
          <w:tcPr>
            <w:tcW w:w="3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00" w:type="dxa"/>
            <w:vAlign w:val="bottom"/>
          </w:tcPr>
          <w:p>
            <w:pPr>
              <w:spacing w:after="0"/>
              <w:rPr>
                <w:sz w:val="12"/>
                <w:szCs w:val="12"/>
                <w:color w:val="auto"/>
              </w:rPr>
            </w:pPr>
          </w:p>
        </w:tc>
        <w:tc>
          <w:tcPr>
            <w:tcW w:w="17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82"/>
        </w:trPr>
        <w:tc>
          <w:tcPr>
            <w:tcW w:w="3860" w:type="dxa"/>
            <w:vAlign w:val="bottom"/>
            <w:gridSpan w:val="2"/>
            <w:vMerge w:val="continue"/>
          </w:tcPr>
          <w:p>
            <w:pPr>
              <w:spacing w:after="0"/>
              <w:rPr>
                <w:sz w:val="15"/>
                <w:szCs w:val="15"/>
                <w:color w:val="auto"/>
              </w:rPr>
            </w:pPr>
          </w:p>
        </w:tc>
        <w:tc>
          <w:tcPr>
            <w:tcW w:w="18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4"/>
                <w:szCs w:val="14"/>
                <w:b w:val="1"/>
                <w:bCs w:val="1"/>
                <w:color w:val="auto"/>
                <w:w w:val="93"/>
              </w:rPr>
              <w:t xml:space="preserve">Purchased </w:t>
            </w:r>
            <w:r>
              <w:rPr>
                <w:rFonts w:ascii="Times New Roman" w:cs="Times New Roman" w:eastAsia="Times New Roman" w:hAnsi="Times New Roman"/>
                <w:sz w:val="18"/>
                <w:szCs w:val="18"/>
                <w:b w:val="1"/>
                <w:bCs w:val="1"/>
                <w:color w:val="auto"/>
                <w:w w:val="93"/>
                <w:vertAlign w:val="superscript"/>
              </w:rPr>
              <w:t>(1)(2)</w:t>
            </w:r>
          </w:p>
        </w:tc>
        <w:tc>
          <w:tcPr>
            <w:tcW w:w="140" w:type="dxa"/>
            <w:vAlign w:val="bottom"/>
          </w:tcPr>
          <w:p>
            <w:pPr>
              <w:spacing w:after="0"/>
              <w:rPr>
                <w:sz w:val="15"/>
                <w:szCs w:val="15"/>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760" w:type="dxa"/>
            <w:vAlign w:val="bottom"/>
          </w:tcPr>
          <w:p>
            <w:pPr>
              <w:jc w:val="center"/>
              <w:spacing w:after="0" w:line="181"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Pr>
          <w:p>
            <w:pPr>
              <w:spacing w:after="0"/>
              <w:rPr>
                <w:sz w:val="15"/>
                <w:szCs w:val="15"/>
                <w:color w:val="auto"/>
              </w:rPr>
            </w:pPr>
          </w:p>
        </w:tc>
        <w:tc>
          <w:tcPr>
            <w:tcW w:w="17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or Programs (in millions)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76"/>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April 2025</w:t>
            </w:r>
          </w:p>
        </w:tc>
        <w:tc>
          <w:tcPr>
            <w:tcW w:w="80" w:type="dxa"/>
            <w:vAlign w:val="bottom"/>
          </w:tcPr>
          <w:p>
            <w:pPr>
              <w:spacing w:after="0"/>
              <w:rPr>
                <w:sz w:val="15"/>
                <w:szCs w:val="15"/>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986,217</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100.20</w:t>
            </w:r>
          </w:p>
        </w:tc>
        <w:tc>
          <w:tcPr>
            <w:tcW w:w="100" w:type="dxa"/>
            <w:vAlign w:val="bottom"/>
          </w:tcPr>
          <w:p>
            <w:pPr>
              <w:spacing w:after="0"/>
              <w:rPr>
                <w:sz w:val="15"/>
                <w:szCs w:val="15"/>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986,058</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0" w:type="dxa"/>
            <w:vAlign w:val="bottom"/>
          </w:tcPr>
          <w:p>
            <w:pPr>
              <w:spacing w:after="0"/>
              <w:rPr>
                <w:sz w:val="1"/>
                <w:szCs w:val="1"/>
                <w:color w:val="auto"/>
              </w:rPr>
            </w:pPr>
          </w:p>
        </w:tc>
      </w:tr>
      <w:tr>
        <w:trPr>
          <w:trHeight w:val="180"/>
        </w:trPr>
        <w:tc>
          <w:tcPr>
            <w:tcW w:w="3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May 2025</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1,042,032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94.90</w:t>
            </w: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1,041,654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0" w:type="dxa"/>
            <w:vAlign w:val="bottom"/>
          </w:tcPr>
          <w:p>
            <w:pPr>
              <w:spacing w:after="0"/>
              <w:rPr>
                <w:sz w:val="1"/>
                <w:szCs w:val="1"/>
                <w:color w:val="auto"/>
              </w:rPr>
            </w:pPr>
          </w:p>
        </w:tc>
      </w:tr>
      <w:tr>
        <w:trPr>
          <w:trHeight w:val="184"/>
        </w:trPr>
        <w:tc>
          <w:tcPr>
            <w:tcW w:w="3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June 2025</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538,573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97.88</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538,252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0" w:type="dxa"/>
            <w:vAlign w:val="bottom"/>
          </w:tcPr>
          <w:p>
            <w:pPr>
              <w:spacing w:after="0"/>
              <w:rPr>
                <w:sz w:val="1"/>
                <w:szCs w:val="1"/>
                <w:color w:val="auto"/>
              </w:rPr>
            </w:pPr>
          </w:p>
        </w:tc>
      </w:tr>
      <w:tr>
        <w:trPr>
          <w:trHeight w:val="171"/>
        </w:trPr>
        <w:tc>
          <w:tcPr>
            <w:tcW w:w="3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2,566,822</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97.56</w:t>
            </w:r>
          </w:p>
        </w:tc>
        <w:tc>
          <w:tcPr>
            <w:tcW w:w="100" w:type="dxa"/>
            <w:vAlign w:val="bottom"/>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2,565,964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380" w:hanging="375"/>
        <w:spacing w:after="0" w:line="264" w:lineRule="auto"/>
        <w:tabs>
          <w:tab w:leader="none" w:pos="37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12, 2025, the Board of Directors of the Company approved a common stock repurchase program of up to $500.0 million (the "2025 Stock Repurchase Program"). The 2025 Stock Repurchase Program includes and is not in addition to the $125.6 million remaining under the prior 2021 Stock Repurchase Program authorization. Share repurchases may be made at management's discretion from time to time in the open market (either with or without a 10b5-1 plan) or through privately negotiated transactions. The repurchase program has no time limit and may be suspended or discontinued at any time.</w:t>
      </w:r>
    </w:p>
    <w:p>
      <w:pPr>
        <w:spacing w:after="0" w:line="55"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withheld to pay taxes on the vesting of restricted stock and restricted stock units or to pay taxes on the exercise of stock options granted to employees.</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On July 22, 2025, the Board of Directors of the Company approved a common stock repurchase program of up to $500.0 million ("July 2025 Stock Repurchase Program"). The July 2025 Stock Repurchase Program includes and is not in addition to the $184.2 million of repurchase authority remaining under the 2025 Stock Repurchase as of June 30, 2025.</w:t>
      </w:r>
    </w:p>
    <w:p>
      <w:pPr>
        <w:spacing w:after="0" w:line="122"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3.</w:t>
        <w:tab/>
        <w:t>DEFAULTS UPON SENIOR SECURITIES</w:t>
      </w:r>
    </w:p>
    <w:p>
      <w:pPr>
        <w:spacing w:after="0" w:line="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fiscal quarter ended June 30, 2025, none of the Company’s directors or executive officers adopted or terminated any contract, instruction or written plan for the purchase or sale of Company securities that was intended to satisfy the affirmative defense conditions of Rule 10b5-1 or any non-Rule 10b5-1 trading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236220</wp:posOffset>
            </wp:positionV>
            <wp:extent cx="712787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1" w:right="319" w:bottom="1440" w:gutter="0" w:footer="0" w:header="0"/>
        </w:sectPr>
      </w:pPr>
    </w:p>
    <w:bookmarkStart w:id="41" w:name="page42"/>
    <w:bookmarkEnd w:id="41"/>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720" w:type="dxa"/>
            <w:vAlign w:val="bottom"/>
          </w:tcPr>
          <w:p>
            <w:pPr>
              <w:spacing w:after="0"/>
              <w:rPr>
                <w:sz w:val="13"/>
                <w:szCs w:val="13"/>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25"/>
        </w:trPr>
        <w:tc>
          <w:tcPr>
            <w:tcW w:w="1220" w:type="dxa"/>
            <w:vAlign w:val="bottom"/>
            <w:gridSpan w:val="2"/>
          </w:tcPr>
          <w:p>
            <w:pPr>
              <w:jc w:val="center"/>
              <w:ind w:right="140"/>
              <w:spacing w:after="0"/>
              <w:rPr>
                <w:rFonts w:ascii="Times New Roman" w:cs="Times New Roman" w:eastAsia="Times New Roman" w:hAnsi="Times New Roman"/>
                <w:sz w:val="14"/>
                <w:szCs w:val="14"/>
                <w:color w:val="auto"/>
              </w:rPr>
            </w:pPr>
            <w:hyperlink r:id="rId109">
              <w:r>
                <w:rPr>
                  <w:rFonts w:ascii="Times New Roman" w:cs="Times New Roman" w:eastAsia="Times New Roman" w:hAnsi="Times New Roman"/>
                  <w:sz w:val="14"/>
                  <w:szCs w:val="14"/>
                  <w:color w:val="auto"/>
                </w:rPr>
                <w:t>10.01</w:t>
              </w:r>
            </w:hyperlink>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Churchill Downs Incorporated 2025 Omnibus Stock and Incentive Plan.</w:t>
            </w:r>
          </w:p>
        </w:tc>
      </w:tr>
      <w:tr>
        <w:trPr>
          <w:trHeight w:val="329"/>
        </w:trPr>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10.02</w:t>
            </w: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of Churchill Downs Incorporated Non-Employee Director Restricted Share</w:t>
            </w:r>
          </w:p>
        </w:tc>
      </w:tr>
      <w:tr>
        <w:trPr>
          <w:trHeight w:val="184"/>
        </w:trPr>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Agreement*</w:t>
            </w:r>
          </w:p>
        </w:tc>
      </w:tr>
      <w:tr>
        <w:trPr>
          <w:trHeight w:val="187"/>
        </w:trPr>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10.03</w:t>
            </w: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of Churchill Downs Incorporated Non-Employee Director Restricted Share Unit</w:t>
            </w:r>
          </w:p>
        </w:tc>
      </w:tr>
      <w:tr>
        <w:trPr>
          <w:trHeight w:val="184"/>
        </w:trPr>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Agreement*</w:t>
            </w:r>
          </w:p>
        </w:tc>
      </w:tr>
      <w:tr>
        <w:trPr>
          <w:trHeight w:val="187"/>
        </w:trPr>
        <w:tc>
          <w:tcPr>
            <w:tcW w:w="1220" w:type="dxa"/>
            <w:vAlign w:val="bottom"/>
            <w:gridSpan w:val="2"/>
          </w:tcPr>
          <w:p>
            <w:pPr>
              <w:jc w:val="center"/>
              <w:ind w:right="140"/>
              <w:spacing w:after="0"/>
              <w:rPr>
                <w:rFonts w:ascii="Times New Roman" w:cs="Times New Roman" w:eastAsia="Times New Roman" w:hAnsi="Times New Roman"/>
                <w:sz w:val="14"/>
                <w:szCs w:val="14"/>
                <w:color w:val="auto"/>
              </w:rPr>
            </w:pPr>
            <w:hyperlink r:id="rId110">
              <w:r>
                <w:rPr>
                  <w:rFonts w:ascii="Times New Roman" w:cs="Times New Roman" w:eastAsia="Times New Roman" w:hAnsi="Times New Roman"/>
                  <w:sz w:val="14"/>
                  <w:szCs w:val="14"/>
                  <w:color w:val="auto"/>
                </w:rPr>
                <w:t>10.04</w:t>
              </w:r>
            </w:hyperlink>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Memorandum of Understanding by and between Maureen Adams and Churchill Downs</w:t>
            </w:r>
          </w:p>
        </w:tc>
      </w:tr>
      <w:tr>
        <w:trPr>
          <w:trHeight w:val="184"/>
        </w:trPr>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Incorporated†</w:t>
            </w:r>
          </w:p>
        </w:tc>
      </w:tr>
      <w:tr>
        <w:trPr>
          <w:trHeight w:val="187"/>
        </w:trPr>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31(a)</w:t>
            </w: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Certification of Chief Executive Officer Pursuant to Section 302 of the Sarbanes-Oxley</w:t>
            </w:r>
          </w:p>
        </w:tc>
      </w:tr>
      <w:tr>
        <w:trPr>
          <w:trHeight w:val="184"/>
        </w:trPr>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Act of 2002*</w:t>
            </w:r>
          </w:p>
        </w:tc>
      </w:tr>
      <w:tr>
        <w:trPr>
          <w:trHeight w:val="187"/>
        </w:trPr>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31(b)</w:t>
            </w: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Section 302 of the Sarbanes-</w:t>
            </w:r>
          </w:p>
        </w:tc>
      </w:tr>
      <w:tr>
        <w:trPr>
          <w:trHeight w:val="184"/>
        </w:trPr>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Oxley Act of 2002*</w:t>
            </w:r>
          </w:p>
        </w:tc>
      </w:tr>
    </w:tbl>
    <w:p>
      <w:pPr>
        <w:spacing w:after="0" w:line="45" w:lineRule="exact"/>
        <w:rPr>
          <w:sz w:val="20"/>
          <w:szCs w:val="20"/>
          <w:color w:val="auto"/>
        </w:rPr>
      </w:pPr>
    </w:p>
    <w:p>
      <w:pPr>
        <w:ind w:left="1240" w:hanging="746"/>
        <w:spacing w:after="0" w:line="233" w:lineRule="auto"/>
        <w:tabs>
          <w:tab w:leader="none" w:pos="1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Certification of Chief Executive Officer and Principal Financial Officer Pursuant to 18 U.S.C. Section 1350, As Adopted Pursuant to Section 906 of the Sarbanes-Oxley Act of 2002 (furnished pursuant to Rule 13a – 14(b))**</w:t>
      </w:r>
    </w:p>
    <w:p>
      <w:pPr>
        <w:spacing w:after="0" w:line="2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101.INS</w:t>
            </w:r>
          </w:p>
        </w:tc>
        <w:tc>
          <w:tcPr>
            <w:tcW w:w="5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w:t>
            </w:r>
          </w:p>
        </w:tc>
      </w:tr>
      <w:tr>
        <w:trPr>
          <w:trHeight w:val="184"/>
        </w:trPr>
        <w:tc>
          <w:tcPr>
            <w:tcW w:w="740" w:type="dxa"/>
            <w:vAlign w:val="bottom"/>
          </w:tcPr>
          <w:p>
            <w:pPr>
              <w:spacing w:after="0"/>
              <w:rPr>
                <w:sz w:val="16"/>
                <w:szCs w:val="16"/>
                <w:color w:val="auto"/>
              </w:rPr>
            </w:pPr>
          </w:p>
        </w:tc>
        <w:tc>
          <w:tcPr>
            <w:tcW w:w="5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Data File because its XBRL tags are embedded within the Inline XBRL document</w:t>
            </w:r>
          </w:p>
        </w:tc>
      </w:tr>
      <w:tr>
        <w:trPr>
          <w:trHeight w:val="229"/>
        </w:trPr>
        <w:tc>
          <w:tcPr>
            <w:tcW w:w="7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101.SCH</w:t>
            </w:r>
          </w:p>
        </w:tc>
        <w:tc>
          <w:tcPr>
            <w:tcW w:w="5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23"/>
        </w:trPr>
        <w:tc>
          <w:tcPr>
            <w:tcW w:w="7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8"/>
              </w:rPr>
              <w:t>101.CAL</w:t>
            </w:r>
          </w:p>
        </w:tc>
        <w:tc>
          <w:tcPr>
            <w:tcW w:w="5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23"/>
        </w:trPr>
        <w:tc>
          <w:tcPr>
            <w:tcW w:w="7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101.DEF</w:t>
            </w:r>
          </w:p>
        </w:tc>
        <w:tc>
          <w:tcPr>
            <w:tcW w:w="5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23"/>
        </w:trPr>
        <w:tc>
          <w:tcPr>
            <w:tcW w:w="7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8"/>
              </w:rPr>
              <w:t>101.LAB</w:t>
            </w:r>
          </w:p>
        </w:tc>
        <w:tc>
          <w:tcPr>
            <w:tcW w:w="5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23"/>
        </w:trPr>
        <w:tc>
          <w:tcPr>
            <w:tcW w:w="74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9"/>
              </w:rPr>
              <w:t>101.PRE</w:t>
            </w:r>
          </w:p>
        </w:tc>
        <w:tc>
          <w:tcPr>
            <w:tcW w:w="5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39" w:lineRule="exact"/>
        <w:rPr>
          <w:sz w:val="20"/>
          <w:szCs w:val="20"/>
          <w:color w:val="auto"/>
        </w:rPr>
      </w:pPr>
    </w:p>
    <w:p>
      <w:pPr>
        <w:ind w:left="1240" w:right="100" w:hanging="782"/>
        <w:spacing w:after="0" w:line="239" w:lineRule="auto"/>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as Inline XBRL and contained in Exhibit 101)</w:t>
      </w:r>
    </w:p>
    <w:p>
      <w:pPr>
        <w:spacing w:after="0" w:line="51" w:lineRule="exact"/>
        <w:rPr>
          <w:sz w:val="20"/>
          <w:szCs w:val="20"/>
          <w:color w:val="auto"/>
        </w:rPr>
      </w:pPr>
    </w:p>
    <w:p>
      <w:pPr>
        <w:ind w:left="1240" w:right="1460" w:firstLine="2"/>
        <w:spacing w:after="0" w:line="332" w:lineRule="auto"/>
        <w:tabs>
          <w:tab w:leader="none" w:pos="134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 *filed herewith</w:t>
      </w:r>
    </w:p>
    <w:p>
      <w:pPr>
        <w:ind w:left="1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439420</wp:posOffset>
            </wp:positionV>
            <wp:extent cx="712787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By reference to:</w:t>
      </w:r>
    </w:p>
    <w:p>
      <w:pPr>
        <w:spacing w:after="0" w:line="25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Exhibit 4.1 to the Registration Statement on Form S-8 dated April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the Current Report on Form 8-K dated June 26, 2025.</w:t>
      </w:r>
    </w:p>
    <w:p>
      <w:pPr>
        <w:spacing w:after="0" w:line="3977" w:lineRule="exact"/>
        <w:rPr>
          <w:sz w:val="20"/>
          <w:szCs w:val="20"/>
          <w:color w:val="auto"/>
        </w:rPr>
      </w:pPr>
    </w:p>
    <w:p>
      <w:pPr>
        <w:sectPr>
          <w:pgSz w:w="11900" w:h="16838" w:orient="portrait"/>
          <w:cols w:equalWidth="0" w:num="2">
            <w:col w:w="6220" w:space="220"/>
            <w:col w:w="3940"/>
          </w:cols>
          <w:pgMar w:left="340" w:top="972" w:right="117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p>
      <w:pPr>
        <w:spacing w:after="0" w:line="23"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100965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380"/>
          </w:cols>
          <w:pgMar w:left="340" w:top="972" w:right="1179" w:bottom="1440" w:gutter="0" w:footer="0" w:header="0"/>
          <w:type w:val="continuous"/>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tc>
        <w:tc>
          <w:tcPr>
            <w:tcW w:w="180" w:type="dxa"/>
            <w:vAlign w:val="bottom"/>
          </w:tcPr>
          <w:p>
            <w:pPr>
              <w:spacing w:after="0"/>
              <w:rPr>
                <w:sz w:val="16"/>
                <w:szCs w:val="16"/>
                <w:color w:val="auto"/>
              </w:rPr>
            </w:pPr>
          </w:p>
        </w:tc>
      </w:tr>
      <w:tr>
        <w:trPr>
          <w:trHeight w:val="785"/>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July 23, 2025</w:t>
            </w:r>
          </w:p>
        </w:tc>
        <w:tc>
          <w:tcPr>
            <w:tcW w:w="3380" w:type="dxa"/>
            <w:vAlign w:val="bottom"/>
          </w:tcPr>
          <w:p>
            <w:pPr>
              <w:spacing w:after="0"/>
              <w:rPr>
                <w:sz w:val="24"/>
                <w:szCs w:val="24"/>
                <w:color w:val="auto"/>
              </w:rPr>
            </w:pP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William C. Carstanjen</w:t>
            </w:r>
          </w:p>
        </w:tc>
        <w:tc>
          <w:tcPr>
            <w:tcW w:w="18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William C. Carstanjen</w:t>
            </w:r>
          </w:p>
        </w:tc>
        <w:tc>
          <w:tcPr>
            <w:tcW w:w="18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18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80" w:type="dxa"/>
            <w:vAlign w:val="bottom"/>
          </w:tcPr>
          <w:p>
            <w:pPr>
              <w:spacing w:after="0"/>
              <w:rPr>
                <w:sz w:val="16"/>
                <w:szCs w:val="16"/>
                <w:color w:val="auto"/>
              </w:rPr>
            </w:pPr>
          </w:p>
        </w:tc>
      </w:tr>
      <w:tr>
        <w:trPr>
          <w:trHeight w:val="796"/>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July 23, 2025</w:t>
            </w:r>
          </w:p>
        </w:tc>
        <w:tc>
          <w:tcPr>
            <w:tcW w:w="3380" w:type="dxa"/>
            <w:vAlign w:val="bottom"/>
          </w:tcPr>
          <w:p>
            <w:pPr>
              <w:spacing w:after="0"/>
              <w:rPr>
                <w:sz w:val="24"/>
                <w:szCs w:val="24"/>
                <w:color w:val="auto"/>
              </w:rPr>
            </w:pP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Marcia A. Dall</w:t>
            </w:r>
          </w:p>
        </w:tc>
        <w:tc>
          <w:tcPr>
            <w:tcW w:w="18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Marcia A. Dall</w:t>
            </w:r>
          </w:p>
        </w:tc>
        <w:tc>
          <w:tcPr>
            <w:tcW w:w="18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18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80" w:type="dxa"/>
            <w:vAlign w:val="bottom"/>
          </w:tcPr>
          <w:p>
            <w:pPr>
              <w:spacing w:after="0"/>
              <w:rPr>
                <w:sz w:val="16"/>
                <w:szCs w:val="16"/>
                <w:color w:val="auto"/>
              </w:rPr>
            </w:pPr>
          </w:p>
        </w:tc>
      </w:tr>
      <w:tr>
        <w:trPr>
          <w:trHeight w:val="563"/>
        </w:trPr>
        <w:tc>
          <w:tcPr>
            <w:tcW w:w="2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920" w:type="dxa"/>
            <w:vAlign w:val="bottom"/>
            <w:gridSpan w:val="2"/>
          </w:tcPr>
          <w:p>
            <w:pPr>
              <w:ind w:left="1380"/>
              <w:spacing w:after="0"/>
              <w:rPr>
                <w:sz w:val="20"/>
                <w:szCs w:val="20"/>
                <w:color w:val="auto"/>
              </w:rPr>
            </w:pPr>
            <w:r>
              <w:rPr>
                <w:rFonts w:ascii="Times New Roman" w:cs="Times New Roman" w:eastAsia="Times New Roman" w:hAnsi="Times New Roman"/>
                <w:sz w:val="14"/>
                <w:szCs w:val="14"/>
                <w:color w:val="auto"/>
              </w:rPr>
              <w:t>FORM 10-Q FOR THE QUARTERLY PERIOD ENDED JUNE 30, 2025</w:t>
            </w:r>
          </w:p>
        </w:tc>
        <w:tc>
          <w:tcPr>
            <w:tcW w:w="180" w:type="dxa"/>
            <w:vAlign w:val="bottom"/>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920" w:type="dxa"/>
            <w:vAlign w:val="bottom"/>
            <w:gridSpan w:val="2"/>
          </w:tcPr>
          <w:p>
            <w:pPr>
              <w:ind w:left="3400"/>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Pr>
          <w:p>
            <w:pPr>
              <w:spacing w:after="0"/>
              <w:rPr>
                <w:sz w:val="16"/>
                <w:szCs w:val="16"/>
                <w:color w:val="auto"/>
              </w:rPr>
            </w:pPr>
          </w:p>
        </w:tc>
      </w:tr>
    </w:tbl>
    <w:p>
      <w:pPr>
        <w:sectPr>
          <w:pgSz w:w="11900" w:h="16838" w:orient="portrait"/>
          <w:cols w:equalWidth="0" w:num="1">
            <w:col w:w="11260"/>
          </w:cols>
          <w:pgMar w:left="300" w:top="887" w:right="339" w:bottom="1440"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b w:val="1"/>
          <w:bCs w:val="1"/>
          <w:color w:val="auto"/>
        </w:rPr>
        <w:t>EXHIBIT 31(a)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William C. Carstanjen, certify that:</w:t>
      </w:r>
    </w:p>
    <w:p>
      <w:pPr>
        <w:spacing w:after="0" w:line="179" w:lineRule="exact"/>
        <w:rPr>
          <w:sz w:val="20"/>
          <w:szCs w:val="20"/>
          <w:color w:val="auto"/>
        </w:rPr>
      </w:pPr>
    </w:p>
    <w:p>
      <w:pPr>
        <w:ind w:left="380" w:hanging="375"/>
        <w:spacing w:after="0"/>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Churchill Downs Incorporated;</w:t>
      </w:r>
    </w:p>
    <w:p>
      <w:pPr>
        <w:spacing w:after="0" w:line="178"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380" w:right="8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160" w:right="240" w:hanging="391"/>
        <w:spacing w:after="0" w:line="270" w:lineRule="auto"/>
        <w:tabs>
          <w:tab w:leader="none" w:pos="1152"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jc w:val="both"/>
        <w:ind w:left="1160" w:right="440" w:hanging="391"/>
        <w:spacing w:after="0" w:line="270" w:lineRule="auto"/>
        <w:tabs>
          <w:tab w:leader="none" w:pos="11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160" w:right="40" w:hanging="391"/>
        <w:spacing w:after="0" w:line="287" w:lineRule="auto"/>
        <w:tabs>
          <w:tab w:leader="none" w:pos="1152"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160" w:right="20" w:hanging="391"/>
        <w:spacing w:after="0" w:line="287" w:lineRule="auto"/>
        <w:tabs>
          <w:tab w:leader="none" w:pos="11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500" w:hanging="375"/>
        <w:spacing w:after="0" w:line="287"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160" w:right="400" w:hanging="391"/>
        <w:spacing w:after="0" w:line="287" w:lineRule="auto"/>
        <w:tabs>
          <w:tab w:leader="none" w:pos="1152"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160" w:hanging="391"/>
        <w:spacing w:after="0"/>
        <w:tabs>
          <w:tab w:leader="none" w:pos="11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620" w:val="left"/>
          <w:tab w:leader="none" w:pos="62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July 23, 2025</w:t>
      </w:r>
      <w:r>
        <w:rPr>
          <w:sz w:val="20"/>
          <w:szCs w:val="20"/>
          <w:color w:val="auto"/>
        </w:rPr>
        <w:tab/>
      </w:r>
      <w:r>
        <w:rPr>
          <w:rFonts w:ascii="Times New Roman" w:cs="Times New Roman" w:eastAsia="Times New Roman" w:hAnsi="Times New Roman"/>
          <w:sz w:val="13"/>
          <w:szCs w:val="13"/>
          <w:color w:val="auto"/>
        </w:rPr>
        <w:t>/s/ William C. Carstanjen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14605</wp:posOffset>
            </wp:positionV>
            <wp:extent cx="318643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William C. Carstanjen</w:t>
      </w:r>
    </w:p>
    <w:p>
      <w:pPr>
        <w:ind w:left="6240"/>
        <w:spacing w:after="0" w:line="221" w:lineRule="auto"/>
        <w:rPr>
          <w:sz w:val="20"/>
          <w:szCs w:val="20"/>
          <w:color w:val="auto"/>
        </w:rPr>
      </w:pPr>
      <w:r>
        <w:rPr>
          <w:rFonts w:ascii="Times New Roman" w:cs="Times New Roman" w:eastAsia="Times New Roman" w:hAnsi="Times New Roman"/>
          <w:sz w:val="14"/>
          <w:szCs w:val="14"/>
          <w:color w:val="auto"/>
        </w:rPr>
        <w:t>Chief Executive Officer</w:t>
      </w:r>
    </w:p>
    <w:p>
      <w:pPr>
        <w:ind w:left="62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8" w:right="3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4"/>
          <w:szCs w:val="14"/>
          <w:b w:val="1"/>
          <w:bCs w:val="1"/>
          <w:color w:val="auto"/>
        </w:rPr>
        <w:t>EXHIBIT 31(b)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Marcia A. Dall, certify that:</w:t>
      </w:r>
    </w:p>
    <w:p>
      <w:pPr>
        <w:spacing w:after="0" w:line="179" w:lineRule="exact"/>
        <w:rPr>
          <w:sz w:val="20"/>
          <w:szCs w:val="20"/>
          <w:color w:val="auto"/>
        </w:rPr>
      </w:pPr>
    </w:p>
    <w:p>
      <w:pPr>
        <w:ind w:left="380" w:hanging="375"/>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Churchill Downs Incorporated;</w:t>
      </w:r>
    </w:p>
    <w:p>
      <w:pPr>
        <w:spacing w:after="0" w:line="178"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380" w:right="80" w:hanging="375"/>
        <w:spacing w:after="0" w:line="287"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80" w:right="20" w:hanging="375"/>
        <w:spacing w:after="0" w:line="287"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160" w:right="240" w:hanging="391"/>
        <w:spacing w:after="0" w:line="270" w:lineRule="auto"/>
        <w:tabs>
          <w:tab w:leader="none" w:pos="1152"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jc w:val="both"/>
        <w:ind w:left="1160" w:right="440" w:hanging="391"/>
        <w:spacing w:after="0" w:line="270" w:lineRule="auto"/>
        <w:tabs>
          <w:tab w:leader="none" w:pos="11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160" w:right="40" w:hanging="391"/>
        <w:spacing w:after="0" w:line="287" w:lineRule="auto"/>
        <w:tabs>
          <w:tab w:leader="none" w:pos="1152"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160" w:right="20" w:hanging="391"/>
        <w:spacing w:after="0" w:line="287" w:lineRule="auto"/>
        <w:tabs>
          <w:tab w:leader="none" w:pos="11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500" w:hanging="375"/>
        <w:spacing w:after="0" w:line="287"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160" w:right="400" w:hanging="391"/>
        <w:spacing w:after="0" w:line="287" w:lineRule="auto"/>
        <w:tabs>
          <w:tab w:leader="none" w:pos="1152"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160" w:hanging="391"/>
        <w:spacing w:after="0"/>
        <w:tabs>
          <w:tab w:leader="none" w:pos="11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620" w:val="left"/>
          <w:tab w:leader="none" w:pos="62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July 23, 2025</w:t>
      </w:r>
      <w:r>
        <w:rPr>
          <w:sz w:val="20"/>
          <w:szCs w:val="20"/>
          <w:color w:val="auto"/>
        </w:rPr>
        <w:tab/>
      </w:r>
      <w:r>
        <w:rPr>
          <w:rFonts w:ascii="Times New Roman" w:cs="Times New Roman" w:eastAsia="Times New Roman" w:hAnsi="Times New Roman"/>
          <w:sz w:val="14"/>
          <w:szCs w:val="14"/>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14605</wp:posOffset>
            </wp:positionV>
            <wp:extent cx="318643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Marcia A. Dall</w:t>
      </w:r>
    </w:p>
    <w:p>
      <w:pPr>
        <w:ind w:left="6240"/>
        <w:spacing w:after="0" w:line="221" w:lineRule="auto"/>
        <w:rPr>
          <w:sz w:val="20"/>
          <w:szCs w:val="20"/>
          <w:color w:val="auto"/>
        </w:rPr>
      </w:pPr>
      <w:r>
        <w:rPr>
          <w:rFonts w:ascii="Times New Roman" w:cs="Times New Roman" w:eastAsia="Times New Roman" w:hAnsi="Times New Roman"/>
          <w:sz w:val="14"/>
          <w:szCs w:val="14"/>
          <w:color w:val="auto"/>
        </w:rPr>
        <w:t>Executive Vice President and Chief Financial Officer</w:t>
      </w:r>
    </w:p>
    <w:p>
      <w:pPr>
        <w:ind w:left="6240"/>
        <w:spacing w:after="0"/>
        <w:rPr>
          <w:sz w:val="20"/>
          <w:szCs w:val="20"/>
          <w:color w:val="auto"/>
        </w:rPr>
      </w:pPr>
      <w:r>
        <w:rPr>
          <w:rFonts w:ascii="Times New Roman" w:cs="Times New Roman" w:eastAsia="Times New Roman" w:hAnsi="Times New Roman"/>
          <w:sz w:val="14"/>
          <w:szCs w:val="14"/>
          <w:color w:val="auto"/>
        </w:rPr>
        <w:t>(Principal Financial &amp; Accounting Officer)</w:t>
      </w:r>
    </w:p>
    <w:p>
      <w:pPr>
        <w:sectPr>
          <w:pgSz w:w="11900" w:h="16838" w:orient="portrait"/>
          <w:cols w:equalWidth="0" w:num="1">
            <w:col w:w="11280"/>
          </w:cols>
          <w:pgMar w:left="300" w:top="728" w:right="3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and Chief Financial Officer Pursuant to</w:t>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Quarterly Report on Form 10-Q of Churchill Downs Incorporated (the “Company”) for the quarterly period ended June 30, 2025, as filed with the Securities and Exchange Commission on the date hereof (the “Report”), William C. Carstanjen, as Chief Executive Officer (Principal Executive Officer) of the Company, and Marcia A. Dall, as Executive Vice President and Chief Financial Officer (Principal Financial &amp; Accounting Officer) of the Company, each hereby certifies, pursuant to 18 U.S.C. § 1350, as adopted pursuant to § 906 of the Sarbanes-Oxley Act of 2002, to the best of his or her knowledge, that:</w:t>
      </w:r>
    </w:p>
    <w:p>
      <w:pPr>
        <w:spacing w:after="0" w:line="140" w:lineRule="exact"/>
        <w:rPr>
          <w:sz w:val="20"/>
          <w:szCs w:val="20"/>
          <w:color w:val="auto"/>
        </w:rPr>
      </w:pPr>
    </w:p>
    <w:p>
      <w:pPr>
        <w:ind w:left="640" w:hanging="253"/>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William C. Carstanjen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William C. Carstanjen</w:t>
      </w:r>
    </w:p>
    <w:p>
      <w:pPr>
        <w:ind w:left="20"/>
        <w:spacing w:after="0" w:line="221" w:lineRule="auto"/>
        <w:rPr>
          <w:sz w:val="20"/>
          <w:szCs w:val="20"/>
          <w:color w:val="auto"/>
        </w:rPr>
      </w:pPr>
      <w:r>
        <w:rPr>
          <w:rFonts w:ascii="Times New Roman" w:cs="Times New Roman" w:eastAsia="Times New Roman" w:hAnsi="Times New Roman"/>
          <w:sz w:val="14"/>
          <w:szCs w:val="14"/>
          <w:color w:val="auto"/>
        </w:rPr>
        <w:t>Chief Executive Officer</w:t>
      </w: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July 23, 2025</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Marcia A. Dall</w:t>
      </w:r>
    </w:p>
    <w:p>
      <w:pPr>
        <w:ind w:left="20"/>
        <w:spacing w:after="0" w:line="221" w:lineRule="auto"/>
        <w:rPr>
          <w:sz w:val="20"/>
          <w:szCs w:val="20"/>
          <w:color w:val="auto"/>
        </w:rPr>
      </w:pPr>
      <w:r>
        <w:rPr>
          <w:rFonts w:ascii="Times New Roman" w:cs="Times New Roman" w:eastAsia="Times New Roman" w:hAnsi="Times New Roman"/>
          <w:sz w:val="14"/>
          <w:szCs w:val="14"/>
          <w:color w:val="auto"/>
        </w:rPr>
        <w:t>Executive Vice President and Chief Financial Officer</w:t>
      </w:r>
    </w:p>
    <w:p>
      <w:pPr>
        <w:ind w:left="20"/>
        <w:spacing w:after="0"/>
        <w:rPr>
          <w:sz w:val="20"/>
          <w:szCs w:val="20"/>
          <w:color w:val="auto"/>
        </w:rPr>
      </w:pPr>
      <w:r>
        <w:rPr>
          <w:rFonts w:ascii="Times New Roman" w:cs="Times New Roman" w:eastAsia="Times New Roman" w:hAnsi="Times New Roman"/>
          <w:sz w:val="14"/>
          <w:szCs w:val="14"/>
          <w:color w:val="auto"/>
        </w:rPr>
        <w:t>(Principal Financial &amp; Accounting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July 23, 2025</w:t>
      </w:r>
    </w:p>
    <w:p>
      <w:pPr>
        <w:spacing w:after="0" w:line="2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certification is being furnished to the Securities and Exchange Commission as an exhibit to the Report and shall not be deemed filed by the Company for purposes of § 18 of the Securities Exchange Act of 1934, as amended.</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Churchill Downs Incorporated and will be retained by Churchill Downs Incorporated and furnished to the Securities and Exchange Commission or its staff upon request.</w:t>
      </w: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
      <w:numFmt w:val="bullet"/>
      <w:start w:val="1"/>
    </w:lvl>
    <w:lvl w:ilvl="1">
      <w:lvlJc w:val="left"/>
      <w:lvlText w:val="\endash "/>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lvl w:ilvl="1">
      <w:lvlJc w:val="left"/>
      <w:lvlText w:val="\endash "/>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32"/>
    </w:lvl>
  </w:abstractNum>
  <w:abstractNum w:abstractNumId="23">
    <w:nsid w:val="B03E0C6"/>
    <w:multiLevelType w:val="hybridMultilevel"/>
    <w:lvl w:ilvl="0">
      <w:lvlJc w:val="left"/>
      <w:lvlText w:val="%1"/>
      <w:numFmt w:val="decimal"/>
      <w:start w:val="104"/>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09" Type="http://schemas.openxmlformats.org/officeDocument/2006/relationships/hyperlink" Target="https://www.sec.gov/Archives/edgar/data/20212/000119312525091650/d902037dex41.htm" TargetMode="External"/><Relationship Id="rId110" Type="http://schemas.openxmlformats.org/officeDocument/2006/relationships/hyperlink" Target="https://www.sec.gov/Archives/edgar/data/0000020212/000119312525149153/d93368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2025-07-23T16:35:11Z</dcterms:created>
  <dcterms:modified xsi:type="dcterms:W3CDTF">2025-07-23T16:35:11Z</dcterms:modified>
</cp:coreProperties>
</file>