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852170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520" w:hanging="440"/>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6" w:lineRule="exact"/>
        <w:rPr>
          <w:sz w:val="24"/>
          <w:szCs w:val="24"/>
          <w:color w:val="auto"/>
        </w:rPr>
      </w:pPr>
    </w:p>
    <w:p>
      <w:pPr>
        <w:ind w:left="520" w:hanging="440"/>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8" w:lineRule="exact"/>
        <w:rPr>
          <w:sz w:val="24"/>
          <w:szCs w:val="24"/>
          <w:color w:val="auto"/>
        </w:rPr>
      </w:pPr>
    </w:p>
    <w:p>
      <w:pPr>
        <w:ind w:left="3900"/>
        <w:spacing w:after="0"/>
        <w:tabs>
          <w:tab w:leader="none" w:pos="66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-7620</wp:posOffset>
            </wp:positionV>
            <wp:extent cx="802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001-33998</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Churchill Downs Incorporated</w:t>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2100"/>
        <w:spacing w:after="0"/>
        <w:tabs>
          <w:tab w:leader="none" w:pos="8620" w:val="left"/>
        </w:tabs>
        <w:rPr>
          <w:sz w:val="20"/>
          <w:szCs w:val="20"/>
          <w:color w:val="auto"/>
        </w:rPr>
      </w:pPr>
      <w:r>
        <w:rPr>
          <w:rFonts w:ascii="Times New Roman" w:cs="Times New Roman" w:eastAsia="Times New Roman" w:hAnsi="Times New Roman"/>
          <w:sz w:val="18"/>
          <w:szCs w:val="18"/>
          <w:b w:val="1"/>
          <w:bCs w:val="1"/>
          <w:color w:val="auto"/>
        </w:rPr>
        <w:t>Kentucky</w:t>
      </w:r>
      <w:r>
        <w:rPr>
          <w:sz w:val="20"/>
          <w:szCs w:val="20"/>
          <w:color w:val="auto"/>
        </w:rPr>
        <w:tab/>
      </w:r>
      <w:r>
        <w:rPr>
          <w:rFonts w:ascii="Times New Roman" w:cs="Times New Roman" w:eastAsia="Times New Roman" w:hAnsi="Times New Roman"/>
          <w:sz w:val="18"/>
          <w:szCs w:val="18"/>
          <w:b w:val="1"/>
          <w:bCs w:val="1"/>
          <w:color w:val="auto"/>
        </w:rPr>
        <w:t>61-0156015</w:t>
      </w:r>
    </w:p>
    <w:p>
      <w:pPr>
        <w:spacing w:after="0" w:line="54" w:lineRule="exact"/>
        <w:rPr>
          <w:sz w:val="24"/>
          <w:szCs w:val="24"/>
          <w:color w:val="auto"/>
        </w:rPr>
      </w:pPr>
    </w:p>
    <w:p>
      <w:pPr>
        <w:ind w:left="320"/>
        <w:spacing w:after="0"/>
        <w:tabs>
          <w:tab w:leader="none" w:pos="7760" w:val="left"/>
        </w:tabs>
        <w:rPr>
          <w:sz w:val="20"/>
          <w:szCs w:val="20"/>
          <w:color w:val="auto"/>
        </w:rPr>
      </w:pPr>
      <w:r>
        <w:rPr>
          <w:rFonts w:ascii="Times New Roman" w:cs="Times New Roman" w:eastAsia="Times New Roman" w:hAnsi="Times New Roman"/>
          <w:sz w:val="18"/>
          <w:szCs w:val="18"/>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10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600 North Hurstbourne Parkway, Suite 400</w:t>
      </w:r>
    </w:p>
    <w:p>
      <w:pPr>
        <w:sectPr>
          <w:pgSz w:w="11900" w:h="16838" w:orient="portrait"/>
          <w:cols w:equalWidth="0" w:num="1">
            <w:col w:w="11260"/>
          </w:cols>
          <w:pgMar w:left="320" w:top="1440" w:right="319" w:bottom="1440" w:gutter="0" w:footer="0" w:header="0"/>
        </w:sectPr>
      </w:pPr>
    </w:p>
    <w:p>
      <w:pPr>
        <w:spacing w:after="0" w:line="77" w:lineRule="exact"/>
        <w:rPr>
          <w:sz w:val="24"/>
          <w:szCs w:val="24"/>
          <w:color w:val="auto"/>
        </w:rPr>
      </w:pPr>
    </w:p>
    <w:p>
      <w:pPr>
        <w:jc w:val="center"/>
        <w:ind w:right="3080"/>
        <w:spacing w:after="0"/>
        <w:rPr>
          <w:sz w:val="20"/>
          <w:szCs w:val="20"/>
          <w:color w:val="auto"/>
        </w:rPr>
      </w:pPr>
      <w:r>
        <w:rPr>
          <w:rFonts w:ascii="Times New Roman" w:cs="Times New Roman" w:eastAsia="Times New Roman" w:hAnsi="Times New Roman"/>
          <w:sz w:val="18"/>
          <w:szCs w:val="18"/>
          <w:b w:val="1"/>
          <w:bCs w:val="1"/>
          <w:color w:val="auto"/>
        </w:rPr>
        <w:t>Louisville, Kentucky</w:t>
      </w:r>
    </w:p>
    <w:p>
      <w:pPr>
        <w:spacing w:after="0" w:line="31"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89" w:lineRule="exact"/>
        <w:rPr>
          <w:sz w:val="24"/>
          <w:szCs w:val="24"/>
          <w:color w:val="auto"/>
        </w:rPr>
      </w:pPr>
    </w:p>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(502) 636-4400</w:t>
      </w:r>
    </w:p>
    <w:p>
      <w:pPr>
        <w:spacing w:after="0" w:line="31" w:lineRule="exact"/>
        <w:rPr>
          <w:sz w:val="24"/>
          <w:szCs w:val="24"/>
          <w:color w:val="auto"/>
        </w:rPr>
      </w:pPr>
    </w:p>
    <w:p>
      <w:pPr>
        <w:jc w:val="center"/>
        <w:ind w:left="32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40222</w:t>
      </w:r>
    </w:p>
    <w:p>
      <w:pPr>
        <w:spacing w:after="0" w:line="54"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(Zip Code)</w:t>
      </w:r>
    </w:p>
    <w:p>
      <w:pPr>
        <w:spacing w:after="0" w:line="978" w:lineRule="exact"/>
        <w:rPr>
          <w:sz w:val="24"/>
          <w:szCs w:val="24"/>
          <w:color w:val="auto"/>
        </w:rPr>
      </w:pPr>
    </w:p>
    <w:p>
      <w:pPr>
        <w:sectPr>
          <w:pgSz w:w="11900" w:h="16838" w:orient="portrait"/>
          <w:cols w:equalWidth="0" w:num="2">
            <w:col w:w="7960" w:space="720"/>
            <w:col w:w="2580"/>
          </w:cols>
          <w:pgMar w:left="320" w:top="1440" w:right="319" w:bottom="1440" w:gutter="0" w:footer="0" w:header="0"/>
          <w:type w:val="continuous"/>
        </w:sect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CHDN</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 LLC</w:t>
            </w:r>
          </w:p>
        </w:tc>
      </w:tr>
    </w:tbl>
    <w:p>
      <w:pPr>
        <w:spacing w:after="0" w:line="243"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980" w:val="left"/>
        </w:tabs>
        <w:rPr>
          <w:sz w:val="20"/>
          <w:szCs w:val="20"/>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9" w:lineRule="exact"/>
        <w:rPr>
          <w:sz w:val="24"/>
          <w:szCs w:val="24"/>
          <w:color w:val="auto"/>
        </w:rPr>
      </w:pPr>
    </w:p>
    <w:p>
      <w:pPr>
        <w:ind w:right="4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12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9" w:lineRule="exact"/>
        <w:rPr>
          <w:sz w:val="24"/>
          <w:szCs w:val="24"/>
          <w:color w:val="auto"/>
        </w:rPr>
      </w:pPr>
    </w:p>
    <w:p>
      <w:pPr>
        <w:ind w:right="6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92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outstanding of registrant’s common stock at April 17, 2024 was 73,504,938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60" w:type="dxa"/>
            <w:vAlign w:val="bottom"/>
          </w:tcPr>
          <w:p>
            <w:pPr>
              <w:spacing w:after="0"/>
              <w:rPr>
                <w:sz w:val="18"/>
                <w:szCs w:val="18"/>
                <w:color w:val="auto"/>
              </w:rPr>
            </w:pPr>
          </w:p>
        </w:tc>
        <w:tc>
          <w:tcPr>
            <w:tcW w:w="24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Financial Statements (Unaudited)</w:t>
            </w:r>
          </w:p>
        </w:tc>
        <w:tc>
          <w:tcPr>
            <w:tcW w:w="480" w:type="dxa"/>
            <w:vAlign w:val="bottom"/>
            <w:tcBorders>
              <w:top w:val="single" w:sz="8" w:color="auto"/>
            </w:tcBorders>
          </w:tcPr>
          <w:p>
            <w:pPr>
              <w:spacing w:after="0"/>
              <w:rPr>
                <w:sz w:val="18"/>
                <w:szCs w:val="18"/>
                <w:color w:val="auto"/>
              </w:rPr>
            </w:pPr>
          </w:p>
        </w:tc>
        <w:tc>
          <w:tcPr>
            <w:tcW w:w="7140" w:type="dxa"/>
            <w:vAlign w:val="bottom"/>
            <w:gridSpan w:val="8"/>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 for the three months ended March 31, 2024 and 2023</w:t>
            </w:r>
          </w:p>
        </w:tc>
        <w:tc>
          <w:tcPr>
            <w:tcW w:w="15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Condensed Consolidated Balance Sheets at March 31, 2024 and December 31, 2023</w:t>
            </w:r>
          </w:p>
        </w:tc>
        <w:tc>
          <w:tcPr>
            <w:tcW w:w="2400" w:type="dxa"/>
            <w:vAlign w:val="bottom"/>
            <w:gridSpan w:val="4"/>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Condensed Consolidated Statements of Shareholders' Equity for the three months ended March 31, 2024 and 2023</w:t>
            </w:r>
          </w:p>
        </w:tc>
        <w:tc>
          <w:tcPr>
            <w:tcW w:w="1800" w:type="dxa"/>
            <w:vAlign w:val="bottom"/>
            <w:gridSpan w:val="2"/>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2024 and 2023</w:t>
            </w:r>
          </w:p>
        </w:tc>
        <w:tc>
          <w:tcPr>
            <w:tcW w:w="1800" w:type="dxa"/>
            <w:vAlign w:val="bottom"/>
            <w:gridSpan w:val="2"/>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Notes to Condensed Consolidated Financial Statements</w:t>
            </w:r>
          </w:p>
        </w:tc>
        <w:tc>
          <w:tcPr>
            <w:tcW w:w="3580" w:type="dxa"/>
            <w:vAlign w:val="bottom"/>
            <w:gridSpan w:val="4"/>
          </w:tcPr>
          <w:p>
            <w:pPr>
              <w:spacing w:after="0"/>
              <w:rPr>
                <w:sz w:val="18"/>
                <w:szCs w:val="18"/>
                <w:color w:val="auto"/>
              </w:rPr>
            </w:pPr>
          </w:p>
        </w:tc>
        <w:tc>
          <w:tcPr>
            <w:tcW w:w="2460" w:type="dxa"/>
            <w:vAlign w:val="bottom"/>
            <w:gridSpan w:val="3"/>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460" w:type="dxa"/>
            <w:vAlign w:val="bottom"/>
          </w:tcPr>
          <w:p>
            <w:pPr>
              <w:spacing w:after="0"/>
              <w:rPr>
                <w:sz w:val="18"/>
                <w:szCs w:val="18"/>
                <w:color w:val="auto"/>
              </w:rPr>
            </w:pPr>
          </w:p>
        </w:tc>
        <w:tc>
          <w:tcPr>
            <w:tcW w:w="64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 and Results of Operations</w:t>
            </w:r>
          </w:p>
        </w:tc>
        <w:tc>
          <w:tcPr>
            <w:tcW w:w="3600" w:type="dxa"/>
            <w:vAlign w:val="bottom"/>
            <w:gridSpan w:val="4"/>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23</w:t>
            </w: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60" w:type="dxa"/>
            <w:vAlign w:val="bottom"/>
          </w:tcPr>
          <w:p>
            <w:pPr>
              <w:spacing w:after="0"/>
              <w:rPr>
                <w:sz w:val="18"/>
                <w:szCs w:val="18"/>
                <w:color w:val="auto"/>
              </w:rPr>
            </w:pPr>
          </w:p>
        </w:tc>
        <w:tc>
          <w:tcPr>
            <w:tcW w:w="4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5680" w:type="dxa"/>
            <w:vAlign w:val="bottom"/>
            <w:gridSpan w:val="6"/>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32</w:t>
            </w: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60" w:type="dxa"/>
            <w:vAlign w:val="bottom"/>
          </w:tcPr>
          <w:p>
            <w:pPr>
              <w:spacing w:after="0"/>
              <w:rPr>
                <w:sz w:val="18"/>
                <w:szCs w:val="18"/>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32</w:t>
            </w:r>
          </w:p>
        </w:tc>
      </w:tr>
      <w:tr>
        <w:trPr>
          <w:trHeight w:val="20"/>
        </w:trPr>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180" w:type="dxa"/>
            <w:vAlign w:val="bottom"/>
          </w:tcPr>
          <w:p>
            <w:pPr>
              <w:spacing w:after="0"/>
              <w:rPr>
                <w:sz w:val="17"/>
                <w:szCs w:val="17"/>
                <w:color w:val="auto"/>
              </w:rPr>
            </w:pPr>
          </w:p>
        </w:tc>
      </w:tr>
      <w:tr>
        <w:trPr>
          <w:trHeight w:val="20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60" w:type="dxa"/>
            <w:vAlign w:val="bottom"/>
            <w:gridSpan w:val="2"/>
          </w:tcPr>
          <w:p>
            <w:pPr>
              <w:spacing w:after="0"/>
              <w:rPr>
                <w:sz w:val="18"/>
                <w:szCs w:val="18"/>
                <w:color w:val="auto"/>
              </w:rPr>
            </w:pPr>
          </w:p>
        </w:tc>
        <w:tc>
          <w:tcPr>
            <w:tcW w:w="134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1260" w:type="dxa"/>
            <w:vAlign w:val="bottom"/>
            <w:tcBorders>
              <w:top w:val="single" w:sz="8" w:color="auto"/>
            </w:tcBorders>
            <w:gridSpan w:val="3"/>
          </w:tcPr>
          <w:p>
            <w:pPr>
              <w:spacing w:after="0"/>
              <w:rPr>
                <w:sz w:val="18"/>
                <w:szCs w:val="18"/>
                <w:color w:val="auto"/>
              </w:rPr>
            </w:pPr>
          </w:p>
        </w:tc>
        <w:tc>
          <w:tcPr>
            <w:tcW w:w="744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34</w:t>
            </w:r>
          </w:p>
        </w:tc>
      </w:tr>
      <w:tr>
        <w:trPr>
          <w:trHeight w:val="210"/>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34</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34</w:t>
            </w:r>
          </w:p>
        </w:tc>
      </w:tr>
      <w:tr>
        <w:trPr>
          <w:trHeight w:val="210"/>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460" w:type="dxa"/>
            <w:vAlign w:val="bottom"/>
            <w:gridSpan w:val="2"/>
          </w:tcPr>
          <w:p>
            <w:pPr>
              <w:spacing w:after="0"/>
              <w:rPr>
                <w:sz w:val="18"/>
                <w:szCs w:val="18"/>
                <w:color w:val="auto"/>
              </w:rPr>
            </w:pPr>
          </w:p>
        </w:tc>
        <w:tc>
          <w:tcPr>
            <w:tcW w:w="43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7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34</w:t>
            </w:r>
          </w:p>
        </w:tc>
      </w:tr>
      <w:tr>
        <w:trPr>
          <w:trHeight w:val="209"/>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460" w:type="dxa"/>
            <w:vAlign w:val="bottom"/>
            <w:gridSpan w:val="2"/>
          </w:tcPr>
          <w:p>
            <w:pPr>
              <w:spacing w:after="0"/>
              <w:rPr>
                <w:sz w:val="18"/>
                <w:szCs w:val="18"/>
                <w:color w:val="auto"/>
              </w:rPr>
            </w:pPr>
          </w:p>
        </w:tc>
        <w:tc>
          <w:tcPr>
            <w:tcW w:w="23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7720" w:type="dxa"/>
            <w:vAlign w:val="bottom"/>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34</w:t>
            </w:r>
          </w:p>
        </w:tc>
      </w:tr>
      <w:tr>
        <w:trPr>
          <w:trHeight w:val="209"/>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460" w:type="dxa"/>
            <w:vAlign w:val="bottom"/>
            <w:gridSpan w:val="2"/>
          </w:tcPr>
          <w:p>
            <w:pPr>
              <w:spacing w:after="0"/>
              <w:rPr>
                <w:sz w:val="18"/>
                <w:szCs w:val="18"/>
                <w:color w:val="auto"/>
              </w:rPr>
            </w:pPr>
          </w:p>
        </w:tc>
        <w:tc>
          <w:tcPr>
            <w:tcW w:w="13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440" w:type="dxa"/>
            <w:vAlign w:val="bottom"/>
            <w:tcBorders>
              <w:top w:val="single" w:sz="8" w:color="auto"/>
            </w:tcBorders>
            <w:gridSpan w:val="2"/>
          </w:tcPr>
          <w:p>
            <w:pPr>
              <w:spacing w:after="0"/>
              <w:rPr>
                <w:sz w:val="18"/>
                <w:szCs w:val="18"/>
                <w:color w:val="auto"/>
              </w:rPr>
            </w:pPr>
          </w:p>
        </w:tc>
        <w:tc>
          <w:tcPr>
            <w:tcW w:w="8280" w:type="dxa"/>
            <w:vAlign w:val="bottom"/>
            <w:gridSpan w:val="4"/>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34</w:t>
            </w:r>
          </w:p>
        </w:tc>
      </w:tr>
      <w:tr>
        <w:trPr>
          <w:trHeight w:val="210"/>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60" w:type="dxa"/>
            <w:vAlign w:val="bottom"/>
            <w:gridSpan w:val="2"/>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9440" w:type="dxa"/>
            <w:vAlign w:val="bottom"/>
            <w:gridSpan w:val="9"/>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35</w:t>
            </w: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Signatures</w:t>
            </w:r>
          </w:p>
        </w:tc>
        <w:tc>
          <w:tcPr>
            <w:tcW w:w="9280" w:type="dxa"/>
            <w:vAlign w:val="bottom"/>
            <w:gridSpan w:val="8"/>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283210</wp:posOffset>
            </wp:positionV>
            <wp:extent cx="7098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180" w:type="dxa"/>
            <w:vAlign w:val="bottom"/>
            <w:gridSpan w:val="2"/>
          </w:tcPr>
          <w:p>
            <w:pPr>
              <w:jc w:val="center"/>
              <w:ind w:right="719"/>
              <w:spacing w:after="0"/>
              <w:rPr>
                <w:sz w:val="20"/>
                <w:szCs w:val="20"/>
                <w:color w:val="auto"/>
              </w:rPr>
            </w:pPr>
            <w:r>
              <w:rPr>
                <w:rFonts w:ascii="Times New Roman" w:cs="Times New Roman" w:eastAsia="Times New Roman" w:hAnsi="Times New Roman"/>
                <w:sz w:val="18"/>
                <w:szCs w:val="18"/>
                <w:b w:val="1"/>
                <w:bCs w:val="1"/>
                <w:color w:val="auto"/>
                <w:w w:val="99"/>
              </w:rPr>
              <w:t>CHURCHILL DOWNS INCORPORATED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720" w:type="dxa"/>
            <w:vAlign w:val="bottom"/>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80" w:type="dxa"/>
            <w:vAlign w:val="bottom"/>
            <w:gridSpan w:val="2"/>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common share data)</w:t>
            </w:r>
          </w:p>
        </w:tc>
        <w:tc>
          <w:tcPr>
            <w:tcW w:w="3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3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Live and Historical Racing</w:t>
            </w:r>
          </w:p>
        </w:tc>
        <w:tc>
          <w:tcPr>
            <w:tcW w:w="4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TwinSpires</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Gaming</w:t>
            </w:r>
          </w:p>
        </w:tc>
        <w:tc>
          <w:tcPr>
            <w:tcW w:w="3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 Other</w:t>
            </w:r>
          </w:p>
        </w:tc>
        <w:tc>
          <w:tcPr>
            <w:tcW w:w="3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3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Live and Historical Racing</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TwinSpires</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Gaming</w:t>
            </w:r>
          </w:p>
        </w:tc>
        <w:tc>
          <w:tcPr>
            <w:tcW w:w="3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 Other</w:t>
            </w:r>
          </w:p>
        </w:tc>
        <w:tc>
          <w:tcPr>
            <w:tcW w:w="3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Transaction expense, net</w:t>
            </w:r>
          </w:p>
        </w:tc>
        <w:tc>
          <w:tcPr>
            <w:tcW w:w="3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operating expense</w:t>
            </w:r>
          </w:p>
        </w:tc>
        <w:tc>
          <w:tcPr>
            <w:tcW w:w="3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in income of unconsolidated affiliates</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Gain on sale of Arlington</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Miscellaneous, net</w:t>
            </w:r>
          </w:p>
        </w:tc>
        <w:tc>
          <w:tcPr>
            <w:tcW w:w="3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Total other (expense) income</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from operations before provision for income taxes</w:t>
            </w: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tax provision</w:t>
            </w:r>
          </w:p>
        </w:tc>
        <w:tc>
          <w:tcPr>
            <w:tcW w:w="3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8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 data:</w:t>
            </w:r>
          </w:p>
        </w:tc>
        <w:tc>
          <w:tcPr>
            <w:tcW w:w="3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gridSpan w:val="2"/>
            <w:vMerge w:val="continue"/>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Basic net income</w:t>
            </w:r>
          </w:p>
        </w:tc>
        <w:tc>
          <w:tcPr>
            <w:tcW w:w="384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Diluted net income</w:t>
            </w:r>
          </w:p>
        </w:tc>
        <w:tc>
          <w:tcPr>
            <w:tcW w:w="4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40" w:type="dxa"/>
            <w:vAlign w:val="bottom"/>
            <w:gridSpan w:val="2"/>
            <w:vMerge w:val="continue"/>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Basic</w:t>
            </w:r>
          </w:p>
        </w:tc>
        <w:tc>
          <w:tcPr>
            <w:tcW w:w="3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Diluted</w:t>
            </w:r>
          </w:p>
        </w:tc>
        <w:tc>
          <w:tcPr>
            <w:tcW w:w="3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137160</wp:posOffset>
            </wp:positionV>
            <wp:extent cx="7098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5"/>
        </w:trPr>
        <w:tc>
          <w:tcPr>
            <w:tcW w:w="7180" w:type="dxa"/>
            <w:vAlign w:val="bottom"/>
          </w:tcPr>
          <w:p>
            <w:pPr>
              <w:ind w:left="324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and advances to unconsolidated affiliates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6,955.5</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8"/>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maturities and loan origination fees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net of debt issuance costs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3,071.2</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18"/>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34"/>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0" w:type="dxa"/>
            <w:vAlign w:val="bottom"/>
          </w:tcPr>
          <w:p>
            <w:pPr>
              <w:spacing w:after="0"/>
              <w:rPr>
                <w:sz w:val="1"/>
                <w:szCs w:val="1"/>
                <w:color w:val="auto"/>
              </w:rPr>
            </w:pPr>
          </w:p>
        </w:tc>
      </w:tr>
      <w:tr>
        <w:trPr>
          <w:trHeight w:val="223"/>
        </w:trPr>
        <w:tc>
          <w:tcPr>
            <w:tcW w:w="7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65" w:right="359" w:bottom="1440" w:gutter="0" w:footer="0" w:header="0"/>
        </w:sectPr>
      </w:pPr>
    </w:p>
    <w:bookmarkStart w:id="4" w:name="page5"/>
    <w:bookmarkEnd w:id="4"/>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CHURCHILL DOWNS INCORPORATED CONDENSED CONSOLIDATED STATEMENTS OF SHAREHOLDERS' EQUITY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0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2"/>
                <w:szCs w:val="12"/>
                <w:color w:val="auto"/>
              </w:rPr>
            </w:pPr>
          </w:p>
        </w:tc>
        <w:tc>
          <w:tcPr>
            <w:tcW w:w="116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2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40" w:type="dxa"/>
            <w:vAlign w:val="bottom"/>
            <w:gridSpan w:val="2"/>
          </w:tcPr>
          <w:p>
            <w:pPr>
              <w:ind w:left="40"/>
              <w:spacing w:after="0" w:line="148" w:lineRule="exact"/>
              <w:rPr>
                <w:sz w:val="20"/>
                <w:szCs w:val="20"/>
                <w:color w:val="auto"/>
              </w:rPr>
            </w:pPr>
            <w:r>
              <w:rPr>
                <w:rFonts w:ascii="Times New Roman" w:cs="Times New Roman" w:eastAsia="Times New Roman" w:hAnsi="Times New Roman"/>
                <w:sz w:val="16"/>
                <w:szCs w:val="16"/>
                <w:b w:val="1"/>
                <w:bCs w:val="1"/>
                <w:color w:val="auto"/>
              </w:rPr>
              <w:t>Total Shareholders'</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0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894.5</w:t>
            </w: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stock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4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827.8</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20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2"/>
                <w:szCs w:val="12"/>
                <w:color w:val="auto"/>
              </w:rPr>
            </w:pPr>
          </w:p>
        </w:tc>
        <w:tc>
          <w:tcPr>
            <w:tcW w:w="1100" w:type="dxa"/>
            <w:vAlign w:val="bottom"/>
            <w:gridSpan w:val="2"/>
          </w:tcPr>
          <w:p>
            <w:pPr>
              <w:ind w:left="100"/>
              <w:spacing w:after="0" w:line="14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40" w:type="dxa"/>
            <w:vAlign w:val="bottom"/>
            <w:gridSpan w:val="3"/>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540" w:type="dxa"/>
            <w:vAlign w:val="bottom"/>
            <w:gridSpan w:val="2"/>
          </w:tcPr>
          <w:p>
            <w:pPr>
              <w:jc w:val="right"/>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Total Shareholders'</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2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tcPr>
          <w:p>
            <w:pPr>
              <w:spacing w:after="0"/>
              <w:rPr>
                <w:sz w:val="18"/>
                <w:szCs w:val="18"/>
                <w:color w:val="auto"/>
              </w:rPr>
            </w:pP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551.5</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Taxes paid related to net share settlement of stock awards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March 31, 2023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705.1</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351790</wp:posOffset>
            </wp:positionV>
            <wp:extent cx="7098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121920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6"/>
        </w:trPr>
        <w:tc>
          <w:tcPr>
            <w:tcW w:w="71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4"/>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2"/>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2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w:t>
            </w:r>
          </w:p>
        </w:tc>
      </w:tr>
      <w:tr>
        <w:trPr>
          <w:trHeight w:val="230"/>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Distributions from unconsolidated affiliates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 in income of unconsolidated affiliates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operating lease assets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9"/>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on sale of Arlington</w:t>
            </w:r>
          </w:p>
        </w:tc>
        <w:tc>
          <w:tcPr>
            <w:tcW w:w="4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29"/>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9"/>
        </w:trPr>
        <w:tc>
          <w:tcPr>
            <w:tcW w:w="7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revenue</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r>
      <w:tr>
        <w:trPr>
          <w:trHeight w:val="239"/>
        </w:trPr>
        <w:tc>
          <w:tcPr>
            <w:tcW w:w="7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23"/>
        </w:trPr>
        <w:tc>
          <w:tcPr>
            <w:tcW w:w="7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254.7</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215.9</w:t>
            </w:r>
          </w:p>
        </w:tc>
      </w:tr>
      <w:tr>
        <w:trPr>
          <w:trHeight w:val="206"/>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maintenance expenditures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project expenditures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sale of Arlington</w:t>
            </w:r>
          </w:p>
        </w:tc>
        <w:tc>
          <w:tcPr>
            <w:tcW w:w="4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195.7</w:t>
            </w:r>
          </w:p>
        </w:tc>
      </w:tr>
      <w:tr>
        <w:trPr>
          <w:trHeight w:val="238"/>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23"/>
        </w:trPr>
        <w:tc>
          <w:tcPr>
            <w:tcW w:w="7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06"/>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4"/>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Proceeds from borrowings under long-term debt obligations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of borrowings under long-term debt obligations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(797.5)</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 of dividends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Taxes paid related to net share settlement of stock awards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Debt issuance costs</w:t>
            </w:r>
          </w:p>
        </w:tc>
        <w:tc>
          <w:tcPr>
            <w:tcW w:w="4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bank overdraft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38"/>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71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w:t>
            </w:r>
          </w:p>
        </w:tc>
      </w:tr>
      <w:tr>
        <w:trPr>
          <w:trHeight w:val="221"/>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and restricted cash</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31"/>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204.7</w:t>
            </w:r>
          </w:p>
        </w:tc>
      </w:tr>
      <w:tr>
        <w:trPr>
          <w:trHeight w:val="226"/>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w:t>
            </w:r>
          </w:p>
        </w:tc>
      </w:tr>
      <w:tr>
        <w:trPr>
          <w:trHeight w:val="24"/>
        </w:trPr>
        <w:tc>
          <w:tcPr>
            <w:tcW w:w="7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7098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CHURCHILL DOWNS INCORPORATED CONDENSED CONSOLIDATED STATEMENTS OF CASH FLOWS (Continued) (Unaudited)</w:t>
      </w:r>
    </w:p>
    <w:p>
      <w:pPr>
        <w:spacing w:after="0" w:line="20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of non-cash operating, investing and financing activities:</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29"/>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additions included in accounts payable and accrued expenses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29"/>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 in operating leases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 in finance leases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4"/>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 included in accrued expense and other current liabilities</w:t>
            </w: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342900</wp:posOffset>
            </wp:positionV>
            <wp:extent cx="7098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Churchill Downs Incorporated (the "Company" or "CDI") financial statements are presented in conformity with the requirements of this Quarterly Report on Form 10-Q and consequently do not include all of the disclosures normally required by U.S. generally accepted accounting principles ("GAAP") or those normally made in our Annual Report on Form 10-K. The December 31, 2023 Condensed Consolidated Balance Sheet data was derived from audited financial statements but does not include all disclosures required by GAAP.</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is unaudited. All per share amounts assume dilution unless otherwise noted. This report should be read in conjunction with our Annual Report on Form 10-K for the year ended December 31, 2023.</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this information have been made, and all such adjustments are of a normal, recurring nature.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 our business through three reportable segments: Live and Historical Racing, TwinSpires, and Gaming. We aggregate our other businesses as well as certain corporate operations, and other immaterial joint ventures, in All Other. We report net revenue and operating expense associated with these reportable segments in the accompanying Condensed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effective in 2024 or thereafter</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Disclosure Improvements: Codification Amendments in Response to the Securities and Exchange Commission’s ("SEC") Disclosure Update and Simplification Initiative, to amend certain disclosure and presentation requirements for a variety of topics within FASB's Accounting Standards Codification ("ASC"). These amendments align the requirements in the ASC regarding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 impact of this standard on the consolidated financial statements and related disclosures.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enhances the disclosures required for operating segments in the Company’s annual and interim consolidated financial statements. The amendments are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is currently evaluating the impact of this standard on the consolidated financial statements and related disclosures.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is intended to enhance the transparency and decision usefulness of income tax disclosures. The amendments address investor requests for enhanced income tax information primarily through changes to the rate reconciliation and income taxes paid information. Early adoption is permitted. The amendments are expected to be applied prospectively to all annual periods beginning after December 15, 2024. The Company is currently evaluating the impact of this standard on the consolidated financial statements and related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Exacta Systems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22, 2023, the Company completed its acquisition of Exacta Systems, LLC ("Exacta") for a purchase consideration of $248.2 million, net of cash acquired, which consisted of a $241.3 million cash payment and $6.9 million of deferred payments, which are payable over two years from acquisition (the "Exacta Transaction"). As of March 31, 2024, there were $4.9 million deferred payments remaining. Exacta is a leading provider of central determinate system technology in Historical Racing Machines ("HRMs") across the country. The Exacta Transaction is enabling the Company to realize significant synergies related to the Company’s HRM operations. Exacta operates within the Company’s TwinSpires segment and will continue to service its growing portfolio of third-party HRM operators in Kentucky, Wyoming, and New Hampshire.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319405</wp:posOffset>
            </wp:positionV>
            <wp:extent cx="7098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of $177.4 million related to the Exacta Transaction was recognized, of which $96.0 million was allocated to the Live and Historical Racing segment and $81.4 million was allocated to the TwinSpires segment. The goodwill related to the Exacta Transaction is deductible for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by segment, is composed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Live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TwinSpires</w:t>
            </w:r>
          </w:p>
        </w:tc>
        <w:tc>
          <w:tcPr>
            <w:tcW w:w="200" w:type="dxa"/>
            <w:vAlign w:val="bottom"/>
          </w:tcPr>
          <w:p>
            <w:pPr>
              <w:spacing w:after="0"/>
              <w:rPr>
                <w:sz w:val="17"/>
                <w:szCs w:val="17"/>
                <w:color w:val="auto"/>
              </w:rPr>
            </w:pPr>
          </w:p>
        </w:tc>
        <w:tc>
          <w:tcPr>
            <w:tcW w:w="11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March 31, 2024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are comprised of the following:</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26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36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4"/>
                <w:szCs w:val="14"/>
                <w:color w:val="auto"/>
              </w:rPr>
            </w:pPr>
          </w:p>
        </w:tc>
        <w:tc>
          <w:tcPr>
            <w:tcW w:w="1280" w:type="dxa"/>
            <w:vAlign w:val="bottom"/>
            <w:gridSpan w:val="3"/>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20" w:type="dxa"/>
            <w:vAlign w:val="bottom"/>
            <w:gridSpan w:val="2"/>
          </w:tcPr>
          <w:p>
            <w:pPr>
              <w:spacing w:after="0"/>
              <w:rPr>
                <w:sz w:val="14"/>
                <w:szCs w:val="14"/>
                <w:color w:val="auto"/>
              </w:rPr>
            </w:pPr>
          </w:p>
        </w:tc>
        <w:tc>
          <w:tcPr>
            <w:tcW w:w="13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Net Carrying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0"/>
                <w:szCs w:val="20"/>
                <w:color w:val="auto"/>
              </w:rPr>
            </w:pP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2023, the Company recognized a $24.5 million non-cash impairment charge for the Presque Isle Downs and Casino ("Presque Isle") gaming rights and trademark. The Company continues to monitor the current economic conditions and the impacts on the results of operations of Presque Isle. Future economic conditions could have a negative impact on the estimates and assumptions utilized in our asset impairment assessments. These potential impacts could increase the risk of a future impairment of assets at Presque Isle.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2024 was equal to the U.S. federal statutory rate of 21.0%. The Company's income tax rate for the three months ended March 31, 2024 includes an unfavorable impact from state income taxes and non-deductible officer’s compensation, that was offset by a $5.6 million benefit from the remeasurement of deferred income tax liabilities as a result of certain entity classification elections that were made in the first quarter of 2024 decreasing income attributable to states with higher tax rates compared to prior year.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2023 was higher than the U.S. federal statutory rate of 21.0% primarily resulting from state income taxes and non-deductible officer’s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2021, the Board of Directors of the Company approved a common stock repurchase program of up to $500.0 million (the "2021 Stock Repurchase Program"). The 2021 Stock Repurchase Program includes and is not in addition to any unspent amount remaining under the prior program authorization. Repurchases may be made at management’s discretion from time to time on the open market (either with or without a 10b5-1 plan) or through privately negotiated transactions. The repurchase program has no time limit and may be suspended or discontinued at any time. We had approximately $192.9 million of repurchase authority remaining under the 2021 Stock Repurchase Program at March 31, 2024, based on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1216660</wp:posOffset>
            </wp:positionV>
            <wp:extent cx="7098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under the 2021 Stock Repurchase Program:</w:t>
      </w:r>
    </w:p>
    <w:p>
      <w:pPr>
        <w:spacing w:after="0" w:line="15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share data)</w:t>
            </w:r>
          </w:p>
        </w:tc>
        <w:tc>
          <w:tcPr>
            <w:tcW w:w="2220" w:type="dxa"/>
            <w:vAlign w:val="bottom"/>
            <w:tcBorders>
              <w:top w:val="single" w:sz="8" w:color="auto"/>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200" w:type="dxa"/>
            <w:vAlign w:val="bottom"/>
            <w:tcBorders>
              <w:top w:val="single" w:sz="8" w:color="auto"/>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0"/>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Repurchase Program</w:t>
            </w:r>
          </w:p>
        </w:tc>
        <w:tc>
          <w:tcPr>
            <w:tcW w:w="1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5"/>
                <w:szCs w:val="15"/>
                <w:color w:val="auto"/>
              </w:rPr>
            </w:pPr>
          </w:p>
        </w:tc>
        <w:tc>
          <w:tcPr>
            <w:tcW w:w="108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12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w:t>
            </w:r>
          </w:p>
        </w:tc>
        <w:tc>
          <w:tcPr>
            <w:tcW w:w="0" w:type="dxa"/>
            <w:vAlign w:val="bottom"/>
          </w:tcPr>
          <w:p>
            <w:pPr>
              <w:spacing w:after="0"/>
              <w:rPr>
                <w:sz w:val="1"/>
                <w:szCs w:val="1"/>
                <w:color w:val="auto"/>
              </w:rPr>
            </w:pPr>
          </w:p>
        </w:tc>
      </w:tr>
      <w:tr>
        <w:trPr>
          <w:trHeight w:val="238"/>
        </w:trPr>
        <w:tc>
          <w:tcPr>
            <w:tcW w:w="662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vMerge w:val="continue"/>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 Stock Repurchase Program</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2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any existing common stock repurchase programs. The repurchase of the shares was funded using available cash and borrowings under the Company’s senior secured credit facility.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Two for One Stock Split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May 22, 2023, the Company's common stock was split two-for-one with a proportionate increase in the number of its authorized shares of common stock. All share and per-share amounts in the Company’s condensed consolidated financial statements and related notes have been retroactively adjusted to reflect the effects of the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stock-based employee compensation plans with awards outstanding under the Churchill Downs Incorporated 2016 Omnibus Stock Incentive Plan (the "2016 Plan") and the Executive Long-Term Incentive Compensation Plan, which was adopted pursuant to the 2016 Plan. Our total stock-based compensation expense, which includes expenses related to restricted stock awards, restricted stock unit awards ("RSUs"), performance share unit awards ("PSUs"), and stock options associated with our employee stock purchase plan was $7.2 million for the three months ended March 31, 2024 and $8.6 million for the three months ended March 31, 2023.</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awarded RSUs to employees, RSUs and PSUs to certain named executive officers ("NEOs"), and RSUs to directors. The vesting criteria for the PSU awards granted in 2024 were based on a three-year service period with two performance conditions and a market condition related to relative total shareholder return ("TSR") consistent with prior year grants. The total compensation cost we will recognize under the PSUs is determined using the Monte Carlo valuation methodology, which factors in the value of the TSR market condition when determining the grant date fair value of the PSU. Compensation cost for each PSU is recognized during the performance and service period based on the probable achievement of the two performance criteria. The PSUs are converted into shares of our common stock at the time the PSU award value is finalized.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RSUs and PSUs granted during 2024 is presented below (units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Year</w:t>
            </w:r>
          </w:p>
        </w:tc>
        <w:tc>
          <w:tcPr>
            <w:tcW w:w="100" w:type="dxa"/>
            <w:vAlign w:val="bottom"/>
            <w:vMerge w:val="restart"/>
          </w:tcPr>
          <w:p>
            <w:pPr>
              <w:spacing w:after="0"/>
              <w:rPr>
                <w:sz w:val="18"/>
                <w:szCs w:val="18"/>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Award Type</w:t>
            </w:r>
          </w:p>
        </w:tc>
        <w:tc>
          <w:tcPr>
            <w:tcW w:w="100" w:type="dxa"/>
            <w:vAlign w:val="bottom"/>
            <w:vMerge w:val="restart"/>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Units</w:t>
            </w:r>
          </w:p>
        </w:tc>
        <w:tc>
          <w:tcPr>
            <w:tcW w:w="608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Vesting Terms</w:t>
            </w:r>
          </w:p>
        </w:tc>
        <w:tc>
          <w:tcPr>
            <w:tcW w:w="0" w:type="dxa"/>
            <w:vAlign w:val="bottom"/>
          </w:tcPr>
          <w:p>
            <w:pPr>
              <w:spacing w:after="0"/>
              <w:rPr>
                <w:sz w:val="1"/>
                <w:szCs w:val="1"/>
                <w:color w:val="auto"/>
              </w:rPr>
            </w:pPr>
          </w:p>
        </w:tc>
      </w:tr>
      <w:tr>
        <w:trPr>
          <w:trHeight w:val="243"/>
        </w:trPr>
        <w:tc>
          <w:tcPr>
            <w:tcW w:w="14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4"/>
              </w:rPr>
              <w:t>Awarded</w:t>
            </w:r>
            <w:r>
              <w:rPr>
                <w:rFonts w:ascii="Times New Roman" w:cs="Times New Roman" w:eastAsia="Times New Roman" w:hAnsi="Times New Roman"/>
                <w:sz w:val="23"/>
                <w:szCs w:val="23"/>
                <w:b w:val="1"/>
                <w:bCs w:val="1"/>
                <w:color w:val="auto"/>
                <w:w w:val="94"/>
                <w:vertAlign w:val="superscript"/>
              </w:rPr>
              <w:t>(1)</w:t>
            </w:r>
          </w:p>
        </w:tc>
        <w:tc>
          <w:tcPr>
            <w:tcW w:w="120" w:type="dxa"/>
            <w:vAlign w:val="bottom"/>
          </w:tcPr>
          <w:p>
            <w:pPr>
              <w:spacing w:after="0"/>
              <w:rPr>
                <w:sz w:val="21"/>
                <w:szCs w:val="21"/>
                <w:color w:val="auto"/>
              </w:rPr>
            </w:pPr>
          </w:p>
        </w:tc>
        <w:tc>
          <w:tcPr>
            <w:tcW w:w="6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2"/>
                <w:szCs w:val="22"/>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RSU</w:t>
            </w:r>
          </w:p>
        </w:tc>
        <w:tc>
          <w:tcPr>
            <w:tcW w:w="18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2"/>
                <w:szCs w:val="22"/>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 equally over three service periods ending in 2026</w:t>
            </w:r>
          </w:p>
        </w:tc>
        <w:tc>
          <w:tcPr>
            <w:tcW w:w="0" w:type="dxa"/>
            <w:vAlign w:val="bottom"/>
          </w:tcPr>
          <w:p>
            <w:pPr>
              <w:spacing w:after="0"/>
              <w:rPr>
                <w:sz w:val="1"/>
                <w:szCs w:val="1"/>
                <w:color w:val="auto"/>
              </w:rPr>
            </w:pPr>
          </w:p>
        </w:tc>
      </w:tr>
      <w:tr>
        <w:trPr>
          <w:trHeight w:val="234"/>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PSU</w:t>
            </w:r>
          </w:p>
        </w:tc>
        <w:tc>
          <w:tcPr>
            <w:tcW w:w="18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Three-year performance and service period ending in 2026</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PSUs reflect the target number of units for the original PSU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1517015</wp:posOffset>
            </wp:positionV>
            <wp:extent cx="7098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total debt outstanding:</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7"/>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2"/>
                <w:szCs w:val="22"/>
                <w:color w:val="auto"/>
              </w:rPr>
            </w:pP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2"/>
                <w:szCs w:val="22"/>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B-1 due 2028</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due 2027</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Senior Notes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Senior Notes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2030 Senior Notes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2031 Senior Notes</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4,874.0</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Unamortized premium and deferred finance charges</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current maturities and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4,768.3</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Company’s senior secured credit facility (as amended from time to time, the “Credit Agreement") consisted of a $1.2 billion revolving credit facility (the "Revolver"), $300.0 million senior secured term loan B-1 due 2028 (the "Term Loan B-1"), $1.3 billion senior secured term loan A due 2027 (the "Term Loan A"), and $100.0 million swing line commitment.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 Loan B-1 bears interest at the Secured Overnight Financing Rate ("SOFR") plus 210 basis points and requires quarterly payments of 0.25% of the original $300.0 million balance. The Term Loan B-1 may be subject to additional mandatory prepayment from excess cash flow on an annual basis per the provisions of the Credit Agreement.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and Term Loan A bear interest at SOFR plus 10 basis points, plus a variable applicable margin which is determined by the Company's net leverage ratio. As of March 31, 2024, that applicable margin was 150 basis points which was based on the pricing grid in the Credit Agreement. The Company had $841.9 million available borrowing capacity, after consideration of $5.1 million in outstanding letters of credit, under the Revolver as of March 31,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a commitment fee on the unused portion of the Revolver as determined by a pricing grid based on the consolidated total net secured leverage ratio of the Company. For the period ended March 31, 2024, the Company's commitment fee rate was 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2030 Senior Notes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$1.2 billion in aggregate principal amount of 5.750% senior unsecured notes that mature on April 13, 2030 (the "2030 Senior Notes"). The 2030 Senior Notes were issued at par in a private offering to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institutional buyers, with interest payable in arrears on April 1st and October 1st of each year, commencing on October 1st, 2022. The Company may redeem some or all the 2030 Senior Notes at redemption prices set forth in the 2030 Indenture.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2031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Notes at any time prior to April 25, 2025, at redemption prices set forth in the 2031 Offering Memorandum.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our Live and Historical Racing segment had remaining performance obligations on contracts with a duration greater than one year relating to television rights, sponsorships, personal seat licenses, and admissions, with an aggregate transaction price of $157.6 million. The revenue we expect to recognize on these remaining performance obligations is $61.2 million for the remainder of 2024, $47.4 million in 2025, $23.3 million in 2026, and the remainder thereafter.</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our remaining performance obligations on contracts with a duration greater than one year in segments other than Live and Historical Racing were not 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contract assets were not material.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contract liabilities were $172.3 million and $92.3 million, respectively, which are included in current deferred revenue, non-current deferred revenue, and accrued expense in the accompanying Condensed Consolidated Balance Sheets. Contract liabilities primarily relate to the Live and Historical Racing segment and the increase was primarily due to deferred revenue related to the 150th Kentucky Derby. We recognized $5.8 million of revenue during the three months ended March 31, 2024, which was included in the contract liabilities balance at December 31, 2023. We recognized $3.6 million of revenue during the three months ended March 31, 2023, which was included in the contract liabilities balance at December 31,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included its disaggregated revenue disclosures as follows:</w:t>
      </w:r>
    </w:p>
    <w:p>
      <w:pPr>
        <w:spacing w:after="0" w:line="117" w:lineRule="exact"/>
        <w:rPr>
          <w:sz w:val="20"/>
          <w:szCs w:val="20"/>
          <w:color w:val="auto"/>
        </w:rPr>
      </w:pPr>
    </w:p>
    <w:p>
      <w:pPr>
        <w:jc w:val="both"/>
        <w:ind w:left="700" w:hanging="328"/>
        <w:spacing w:after="0" w:line="258"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Live and Historical Racing segment, revenue is disaggregated between Churchill Downs Racetrack and historical racing properties given that our racing facilities revenues primarily revolve around live racing events while our historical racing properties revenues primarily revolve around historical racing. This segment is also disaggregated by location given the geographic economic factors that affect the revenue of service offerings. Within the Live and Historical Racing segment, revenue is further disaggregated between live and simulcast racing, historical racing, racing event-related services, and other services.</w:t>
      </w:r>
    </w:p>
    <w:p>
      <w:pPr>
        <w:spacing w:after="0" w:line="75" w:lineRule="exact"/>
        <w:rPr>
          <w:rFonts w:ascii="Times New Roman" w:cs="Times New Roman" w:eastAsia="Times New Roman" w:hAnsi="Times New Roman"/>
          <w:sz w:val="18"/>
          <w:szCs w:val="18"/>
          <w:color w:val="auto"/>
        </w:rPr>
      </w:pPr>
    </w:p>
    <w:p>
      <w:pPr>
        <w:ind w:left="620" w:hanging="24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TwinSpires segment, revenue is disaggregated between live and simulcast racing, gaming, and other services.</w:t>
      </w:r>
    </w:p>
    <w:p>
      <w:pPr>
        <w:spacing w:after="0" w:line="117" w:lineRule="exact"/>
        <w:rPr>
          <w:rFonts w:ascii="Times New Roman" w:cs="Times New Roman" w:eastAsia="Times New Roman" w:hAnsi="Times New Roman"/>
          <w:sz w:val="18"/>
          <w:szCs w:val="18"/>
          <w:color w:val="auto"/>
        </w:rPr>
      </w:pPr>
    </w:p>
    <w:p>
      <w:pPr>
        <w:jc w:val="both"/>
        <w:ind w:left="700" w:hanging="328"/>
        <w:spacing w:after="0" w:line="266" w:lineRule="auto"/>
        <w:tabs>
          <w:tab w:leader="none" w:pos="6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Gaming segment, revenue is disaggregated by location given the geographic economic factors that affect the revenue of Gaming service offerings. Within the Gaming segment, revenue is further disaggregated between live and simulcast racing, racing event-related services, gaming, and other services.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these disclosures depict how the amount, nature, timing, and uncertainty of cash flows are affected by economic factors. The tables below present net revenue from external customers and intercompany revenue from each of our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1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Live and Historical Racing:</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Churchill Downs Racetrack</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Louisville</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Northern Kentucky</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Southwestern Kentucky</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Western Kentucky</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Virginia</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Hampshire</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Live and Historical Racing</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TwinSpires: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4"/>
                <w:szCs w:val="24"/>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Florida</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Iowa</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Louisiana</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Maine</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Maryland</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Mississippi</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Pennsylvania</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Gaming</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 from external customers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Intercompany net revenues:</w:t>
            </w: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1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TwinSpires</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Gaming</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Other</w:t>
            </w:r>
          </w:p>
        </w:tc>
        <w:tc>
          <w:tcPr>
            <w:tcW w:w="4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net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608965</wp:posOffset>
            </wp:positionV>
            <wp:extent cx="70980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130175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4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TwinSpires</w:t>
            </w:r>
          </w:p>
        </w:tc>
        <w:tc>
          <w:tcPr>
            <w:tcW w:w="18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33"/>
        </w:trPr>
        <w:tc>
          <w:tcPr>
            <w:tcW w:w="360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3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38"/>
        </w:trPr>
        <w:tc>
          <w:tcPr>
            <w:tcW w:w="36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Live and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Historical</w:t>
            </w:r>
          </w:p>
        </w:tc>
        <w:tc>
          <w:tcPr>
            <w:tcW w:w="14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TwinSpires</w:t>
            </w:r>
          </w:p>
        </w:tc>
        <w:tc>
          <w:tcPr>
            <w:tcW w:w="18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1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Segments</w:t>
            </w:r>
          </w:p>
        </w:tc>
        <w:tc>
          <w:tcPr>
            <w:tcW w:w="18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revenue from external customers</w:t>
            </w: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Pari-mutuel: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Live and simulcast racing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33"/>
        </w:trPr>
        <w:tc>
          <w:tcPr>
            <w:tcW w:w="360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Historical racing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Racing event-related services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6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Gaming</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8"/>
        </w:trPr>
        <w:tc>
          <w:tcPr>
            <w:tcW w:w="36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3"/>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652"/>
        <w:spacing w:after="0" w:line="261"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and beverage, hotel, and other services furnished to customers for free as an inducement to wager or through the redemption of our customers' loyalty points are recorded at the estimated standalone selling prices in other revenue with a corresponding offset recorded as a reduction in historical racing pari-mutuel revenue for HRMs or gaming revenue for our casino properties. These amounts were $13.4 million for the three months ended March 31, 2024 and $12.1 million 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614045</wp:posOffset>
            </wp:positionV>
            <wp:extent cx="70980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BALANCE SHEET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is comprised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Simulcast and online wagering receivables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8"/>
        </w:trPr>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2"/>
                <w:szCs w:val="22"/>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 wagering deposits liability</w:t>
            </w: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related benefits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Purses payable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fixed assets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gaming liabilities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INVESTMENTS IN AND ADVANCES TO UNCONSOLIDATED AFFILIATES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Investments in and advances to unconsolidated affiliates as of March 31, 2024 and December 31, 2023 primarily consisted of interests in Rivers Casino Des Plaines ("Rivers Des Plaines") and Miami Valley Gaming and Racing ("MVG").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Rivers Casino Des Plaines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ownership of Rivers Des Plaines is comprised of the following: (1) the Company owns 61.3%, (2) High Plaines Gaming, LLC ("High Plaines"), an affiliate of Rush Street Gaming, LLC, owns 36.0%, and (3) Casino Investors, LLC owns 2.7%. Both the Company and High Plaines have participating rights over Rivers Des Plaines, and both must consent to certain operating, investing and financing decisions. As a result, we account for Rivers Des Plaines using the equity method. As of March 31, 2024, the net aggregate basis difference between the Company’s investment in Rivers Des Plaines and the amounts of the underlying equity in net assets was $832.7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Rivers Des Plaines was $532.6 million and $541.2 million as of March 31, 2024 and December 31, 2023, respectively. The Company received distributions from Rivers Des Plaines of $34.5 million and $33.8 million for the three months ended March 31,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Miami Valley Gaming and Racing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 50% interest in MVG and Delaware North Companies Gaming &amp; Entertainment Inc. ("DNC") owns the remaining 50% interest in MVG. Since both the Company and DNC have participating rights over MVG, and both must consent to certain operating, investing and financing decisions, we account for MVG using the equity method.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in MVG was $115.2 million and $114.6 million as of March 31, 2024 and December 31, 2023, respectively. The Company received distributions from MVG of $10.5 million and $12.0 million for the three months ended March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311150</wp:posOffset>
            </wp:positionV>
            <wp:extent cx="7098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Results for our Unconsolidated Affiliates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below are the financial results for our unconsolidated affiliates.</w:t>
      </w:r>
    </w:p>
    <w:p>
      <w:pPr>
        <w:spacing w:after="0" w:line="154"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3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SG&amp;A expense</w:t>
            </w:r>
          </w:p>
        </w:tc>
        <w:tc>
          <w:tcPr>
            <w:tcW w:w="2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8"/>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24"/>
                <w:szCs w:val="24"/>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05"/>
        </w:trPr>
        <w:tc>
          <w:tcPr>
            <w:tcW w:w="72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w:t>
            </w: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116.4</w:t>
            </w:r>
          </w:p>
        </w:tc>
        <w:tc>
          <w:tcPr>
            <w:tcW w:w="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3"/>
        </w:trPr>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members' deficit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OF ASSETS AND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endeavor to utilize the best available information in measuring fair value. Financial assets and liabilities are classified based on the lowest level of input that is significant to the fair value measurement. The following methods and assumptions are used to estimate the fair value of each class of financial instruments for which it is practicable to estimate.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restricted cash accounts held in money market and interest-bearing accounts qualify for Level 1 in the fair value hierarchy, which includes unadjusted quoted market prices in active markets for identical assets.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2031 Senior Notes, 2030 Senior Notes, 2028 Senior Notes, and 2027 Senior Notes are estimated based on unadjusted quoted prices for identical or similar liabilities in markets that are not active and as such are Level 2 measurements. The fair values of the Company's Term Loan B-1, Term Loan A, and Revolver under the Credit Agreement approximate the gross carrying value of the variable rate debt and as such are Level 2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322580</wp:posOffset>
            </wp:positionV>
            <wp:extent cx="70980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estimated fair values by input level of the Company's financial instruments are as follows:</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2031 Senior Notes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Financial assets: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B-1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 Loan 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Revolver</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2030 Senior Notes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2031 Senior Notes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We carry insurance for workers' compensation claims from our employees and general liability for claims from independent contractors, customers, and guests. We are self-insured up to an aggregate stop loss for our general liability and workers' compensation coverages.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us, or settlement by us, there can be no assurance that any resulting liability or financial commitment would not have a material adverse impact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314325</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COMMON SHARE COMPUTATIONS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net income per common share computations:</w:t>
      </w:r>
    </w:p>
    <w:p>
      <w:pPr>
        <w:sectPr>
          <w:pgSz w:w="11900" w:h="16838" w:orient="portrait"/>
          <w:cols w:equalWidth="0" w:num="1">
            <w:col w:w="11240"/>
          </w:cols>
          <w:pgMar w:left="320" w:top="158" w:right="339" w:bottom="1440" w:gutter="0" w:footer="0" w:header="0"/>
        </w:sect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Numerator for basic and diluted net income per common share:</w:t>
      </w:r>
    </w:p>
    <w:p>
      <w:pPr>
        <w:spacing w:after="0" w:line="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income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 for net income per common share: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Basic</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Plus dilutive effect of stock awards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39"/>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91"/>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34"/>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20" w:space="720"/>
            <w:col w:w="3300"/>
          </w:cols>
          <w:pgMar w:left="320" w:top="158" w:right="339" w:bottom="1440" w:gutter="0" w:footer="0" w:header="0"/>
          <w:type w:val="continuous"/>
        </w:sectPr>
      </w:pP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data:</w:t>
            </w:r>
          </w:p>
        </w:tc>
        <w:tc>
          <w:tcPr>
            <w:tcW w:w="3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w:t>
            </w:r>
          </w:p>
        </w:tc>
        <w:tc>
          <w:tcPr>
            <w:tcW w:w="3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4"/>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w:t>
            </w:r>
          </w:p>
        </w:tc>
        <w:tc>
          <w:tcPr>
            <w:tcW w:w="32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our operations through three reportable segments: Live and Historical Racing, TwinSpires, and Gaming. Our operating segments reflect the internal management reporting used by our chief operating decision maker to evaluate results of operations and to assess performance and allocate resources.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7, 2023, the Company began operating retail sports betting at its racetracks and HRM facilities in Kentucky. In addition to retail sports betting, third-party service providers began operating online sports wagering in partnership with the Company’s racetracks on September 28, 2023. Our retail and online sports betting business is included in the TwinSpires segment.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Eliminations include the elimination of intersegment transactions. We utilize non-GAAP measures, including EBITDA (earnings before interest, taxes, depreciation and amortization) and Adjusted EBITDA. Our chief operating decision maker utilizes Adjusted EBITDA to evaluate segment performance, develop strategy, and allocate resources. Adjusted EBITDA includes the following adjustments: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includes our portion of EBITDA from our equity investments.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excludes:</w:t>
      </w:r>
    </w:p>
    <w:p>
      <w:pPr>
        <w:spacing w:after="0" w:line="117"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which includes:</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Acquisition, disposition, and property sale related charges;</w:t>
      </w:r>
    </w:p>
    <w:p>
      <w:pPr>
        <w:spacing w:after="0" w:line="11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transaction expense, including legal, accounting, and other deal-related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property sales;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reserves;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recoveries, and expenses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2021, our property in Arlington Heights, Illinois ("Arlington") ceased racing and simulcast operations and the property was sold on February 15, 2023 to the Chicago Bears. Arlington's results and exit costs in 2023 are treated as an adjustment to EBITDA and are included in other</w:t>
      </w:r>
    </w:p>
    <w:p>
      <w:pPr>
        <w:spacing w:after="0"/>
        <w:rPr>
          <w:sz w:val="20"/>
          <w:szCs w:val="20"/>
          <w:color w:val="auto"/>
        </w:rPr>
      </w:pPr>
      <w:r>
        <w:rPr>
          <w:rFonts w:ascii="Times New Roman" w:cs="Times New Roman" w:eastAsia="Times New Roman" w:hAnsi="Times New Roman"/>
          <w:sz w:val="18"/>
          <w:szCs w:val="18"/>
          <w:color w:val="auto"/>
        </w:rPr>
        <w:t>expenses, net in the Reconciliation of Comprehensive Income to Adjusted EBITDA</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335280</wp:posOffset>
            </wp:positionV>
            <wp:extent cx="70980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26, 2023, the Company's management agreement for Lady Luck Casino Nemacolin ("Lady Luck") in Farmington, Pennsylvania expired and was not renewed. The Company completed the sale of substantially all its assets at Lady Luck for an immaterial amount.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the Adjusted EBITDA metric to provide a more accurate measure of our core operating results and enable management and investors to evaluate and compare from period to period our operating performance in a meaningful and consistent manner. Adjusted EBITDA should not be considered as an alternative to operating income as an indicator of performance, as an alternative to cash flows from operating activities as a measure of liquidity, or as an alternative to any other measure provided in accordance with GAAP. Our calculation of Adjusted EBITDA may be different from the calculation used by other companies and, therefore, comparability may be limited. For segment reporting, Adjusted EBITDA includes intercompany revenue and expense totals that are eliminated in the accompanying Condensed Consolidated Statements of Comprehensive Income.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net revenue from external customers, Adjusted EBITDA by segment and reconciles comprehensive income to Adjusted EBITDA: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segment is comprised of the following:</w:t>
      </w:r>
    </w:p>
    <w:p>
      <w:pPr>
        <w:spacing w:after="0" w:line="15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r>
      <w:tr>
        <w:trPr>
          <w:trHeight w:val="218"/>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8"/>
                <w:szCs w:val="18"/>
                <w:color w:val="auto"/>
              </w:rPr>
            </w:pPr>
          </w:p>
        </w:tc>
      </w:tr>
      <w:tr>
        <w:trPr>
          <w:trHeight w:val="22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TwinSpires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4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r>
      <w:tr>
        <w:trPr>
          <w:trHeight w:val="223"/>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1706245</wp:posOffset>
            </wp:positionV>
            <wp:extent cx="7098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280" w:type="dxa"/>
            <w:vAlign w:val="bottom"/>
          </w:tcPr>
          <w:p>
            <w:pPr>
              <w:spacing w:after="0"/>
              <w:rPr>
                <w:sz w:val="14"/>
                <w:szCs w:val="14"/>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TwinSpires</w:t>
            </w:r>
          </w:p>
        </w:tc>
        <w:tc>
          <w:tcPr>
            <w:tcW w:w="500" w:type="dxa"/>
            <w:vAlign w:val="bottom"/>
          </w:tcPr>
          <w:p>
            <w:pPr>
              <w:spacing w:after="0"/>
              <w:rPr>
                <w:sz w:val="14"/>
                <w:szCs w:val="14"/>
                <w:color w:val="auto"/>
              </w:rPr>
            </w:pPr>
          </w:p>
        </w:tc>
        <w:tc>
          <w:tcPr>
            <w:tcW w:w="12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insurance and utilities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other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Live and Historical</w:t>
            </w:r>
          </w:p>
        </w:tc>
        <w:tc>
          <w:tcPr>
            <w:tcW w:w="280" w:type="dxa"/>
            <w:vAlign w:val="bottom"/>
          </w:tcPr>
          <w:p>
            <w:pPr>
              <w:spacing w:after="0"/>
              <w:rPr>
                <w:sz w:val="14"/>
                <w:szCs w:val="14"/>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TwinSpires</w:t>
            </w:r>
          </w:p>
        </w:tc>
        <w:tc>
          <w:tcPr>
            <w:tcW w:w="500" w:type="dxa"/>
            <w:vAlign w:val="bottom"/>
          </w:tcPr>
          <w:p>
            <w:pPr>
              <w:spacing w:after="0"/>
              <w:rPr>
                <w:sz w:val="14"/>
                <w:szCs w:val="14"/>
                <w:color w:val="auto"/>
              </w:rPr>
            </w:pPr>
          </w:p>
        </w:tc>
        <w:tc>
          <w:tcPr>
            <w:tcW w:w="12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Racing</w:t>
            </w:r>
          </w:p>
        </w:tc>
        <w:tc>
          <w:tcPr>
            <w:tcW w:w="280" w:type="dxa"/>
            <w:vAlign w:val="bottom"/>
          </w:tcPr>
          <w:p>
            <w:pPr>
              <w:spacing w:after="0"/>
              <w:rPr>
                <w:sz w:val="21"/>
                <w:szCs w:val="21"/>
                <w:color w:val="auto"/>
              </w:rPr>
            </w:pPr>
          </w:p>
        </w:tc>
        <w:tc>
          <w:tcPr>
            <w:tcW w:w="160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9"/>
                <w:szCs w:val="19"/>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7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Gaming taxes and purses</w:t>
            </w:r>
          </w:p>
        </w:tc>
        <w:tc>
          <w:tcPr>
            <w:tcW w:w="12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insurance and utilities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other taxes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0"/>
                <w:szCs w:val="20"/>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608965</wp:posOffset>
            </wp:positionV>
            <wp:extent cx="7098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by segment is comprised of the following:</w:t>
      </w:r>
    </w:p>
    <w:p>
      <w:pPr>
        <w:spacing w:after="0" w:line="16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7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0" w:type="dxa"/>
            <w:vAlign w:val="bottom"/>
            <w:tcBorders>
              <w:top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2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2023</w:t>
            </w:r>
          </w:p>
        </w:tc>
      </w:tr>
    </w:tbl>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of Comprehensive Income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-128905</wp:posOffset>
            </wp:positionV>
            <wp:extent cx="2297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7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34"/>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23"/>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732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Pre-opening expense</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expense, net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depreciation and amortization expense related to equity investments</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charges and recoveries, net</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4"/>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on sale of Arlington</w:t>
            </w:r>
          </w:p>
        </w:tc>
        <w:tc>
          <w:tcPr>
            <w:tcW w:w="7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3"/>
        </w:trPr>
        <w:tc>
          <w:tcPr>
            <w:tcW w:w="7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adjustments to EBITDA</w:t>
            </w:r>
          </w:p>
        </w:tc>
        <w:tc>
          <w:tcPr>
            <w:tcW w:w="7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by segment:</w:t>
            </w: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732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TwinSpires</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total asset information for each of our segments: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20" w:type="dxa"/>
            <w:vAlign w:val="bottom"/>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60" w:type="dxa"/>
            <w:vAlign w:val="bottom"/>
          </w:tcPr>
          <w:p>
            <w:pPr>
              <w:spacing w:after="0"/>
              <w:rPr>
                <w:sz w:val="20"/>
                <w:szCs w:val="20"/>
                <w:color w:val="auto"/>
              </w:rPr>
            </w:pP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1"/>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30"/>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3,872.9</w:t>
            </w:r>
          </w:p>
        </w:tc>
      </w:tr>
      <w:tr>
        <w:trPr>
          <w:trHeight w:val="230"/>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TwinSpires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r>
      <w:tr>
        <w:trPr>
          <w:trHeight w:val="234"/>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Gaming</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1,920.9</w:t>
            </w:r>
          </w:p>
        </w:tc>
      </w:tr>
      <w:tr>
        <w:trPr>
          <w:trHeight w:val="218"/>
        </w:trPr>
        <w:tc>
          <w:tcPr>
            <w:tcW w:w="7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segment assets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6,267.7</w:t>
            </w:r>
          </w:p>
        </w:tc>
      </w:tr>
      <w:tr>
        <w:trPr>
          <w:trHeight w:val="234"/>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23"/>
        </w:trPr>
        <w:tc>
          <w:tcPr>
            <w:tcW w:w="74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7,066.8</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6,955.5</w:t>
            </w:r>
          </w:p>
        </w:tc>
      </w:tr>
      <w:tr>
        <w:trPr>
          <w:trHeight w:val="21"/>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351790</wp:posOffset>
            </wp:positionV>
            <wp:extent cx="7098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total capital expenditures for each of our segments:</w:t>
      </w:r>
    </w:p>
    <w:p>
      <w:pPr>
        <w:spacing w:after="0" w:line="5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7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7"/>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30"/>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TwinSpires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Gaming</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8"/>
        </w:trPr>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segment capital expenditures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4"/>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3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1"/>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2024, the Company closed on the sale of 49% of the United Tote Company (“United Tote”), a wholly-owned subsidiary of CDI, to NYRA Content Management Solutions, LLC, a subsidiary of the New York Racing Association,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various "forward-looking statements" within the meaning of the Private Securities Litigation Reform Act of 1995 (the "Act"), which provides certain "safe harbor" provisions for forward-looking statements. All forward-looking statements made in this report are made pursuant to the Act. The reader is cautioned that such forward-looking statements are based on information available at the time and / or management’s good faith belief with respect to future events, and are subject to risks and uncertainties that could cause actual performance or results to differ materially from those expressed in the statements. Forward-looking statements speak only as of the date that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“seek,” “should,” “will,” “scheduled”, and similar words or similar expressions (or negative versions of such words or expressions), although some forward-looking statements are expressed differently.</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such forward-looking statements are reasonable, we can give no assurance that such expectations will prove to be correct. Important factors that could cause actual results to differ materially from expectations include the following:</w:t>
      </w:r>
    </w:p>
    <w:p>
      <w:pPr>
        <w:spacing w:after="0" w:line="54" w:lineRule="exact"/>
        <w:rPr>
          <w:sz w:val="20"/>
          <w:szCs w:val="20"/>
          <w:color w:val="auto"/>
        </w:rPr>
      </w:pPr>
    </w:p>
    <w:p>
      <w:pPr>
        <w:ind w:left="660" w:right="1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extraordinary events, such as terrorist attacks, public health threats, civil unrest, and inclement weather, including as a result of climate change;</w:t>
      </w:r>
    </w:p>
    <w:p>
      <w:pPr>
        <w:spacing w:after="0" w:line="53"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on our consumers' confidence and discretionary spending or our access to credit, including the impact of inflation;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increased taxes and fees;</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epidemics, or outbreaks of infectious diseases, including possible new variants of COVID-19, and related economic matters on our results of operations, financial conditions,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confidence in the integrity of our core businesses or any deterioration in our reputation;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or highly skilled personnel, as well as general disruptions in the general labor market;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significant competition, and the expectation that competition levels will increase;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attendance, wagering, and sponsorships;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equity investments, strategic alliances, and other third-party agreements;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respond to rapid technological changes in a timely manner;</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and evolution of slot machine and historical racing machine ("HRM") manufacturing and other technology conditions that could impose additional costs;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enter into or maintain agreements with industry constituents, including horsemen and other racetracks: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focus on market access and retail operations for our TwinSpires sports betting business and effectively compete;</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security risk, including cyber-security breaches, or loss or misuse of our stored information as a result of a breach including customers’ personal information could lead to government enforcement actions or other litigation;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our technology services and catastrophic events and system failures disrupting our operations;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complete, or fully realize the benefits of, our proposed acquisitions, divestitures, development of new venues or the expansion of existing facilities on time, on budget, or as planned;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recent or future acquisitions into our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and other uncertainties associated with the development of new venues and the expansion of existing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risks related to real estate ownership and significant expenditures, including risks related to environmental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injury litigation related to injuries occurring at our racetracks;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342900</wp:posOffset>
            </wp:positionV>
            <wp:extent cx="70980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Foreign Corrupt Practices Act or other similar laws and regulations, or applicable anti-money laundering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 such as risk associated with fraudulent credit card or debit card use;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and labor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or future legal proceedings and other 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regulated operations and changes in the regulatory environment could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debt facilities limiting our flexibility to operate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ratios and other covenants in our debt facilities and other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interest rates (due to inflation or otherwise);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credit markets or changes to our credit ratings may adversely affect our business;</w:t>
      </w:r>
    </w:p>
    <w:p>
      <w:pPr>
        <w:spacing w:after="0" w:line="11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our insurance costs, or inability to obtain similar insurance coverage in the future, and any inability to recover under our insurance policies for damages sustained at our properties in the event of inclement weather and casualty events;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the heading “Risk Factors” in our most recent Annual Report on Form 10-K and in other filings we make with the Securities and Exchange Commission.</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do not undertake any obligation to update or revise any forward-looking statements, whether as a result of new information, future events or otherwise, except as required by law.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is unaudited. Tabular dollars are in millions, except per share amounts. All per share amounts assume dilution unless otherwise noted. This report should be read in conjunction with our Annual Report on Form 10-K for the year ended December 31, 2023, including Part I - Item 1A, "Risk Factors" of our Form 10-K for a discussion regarding some of the reasons that actual results may be materially different from those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466090</wp:posOffset>
            </wp:positionV>
            <wp:extent cx="70980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Churchill Downs Incorporated ("CDI" or the "Company") has been creating extraordinary entertainment experiences for nearly 150 years, beginning with the Company’s most iconic and enduring asset, the Kentucky Derby. Headquartered in Louisville, Kentucky, CDI has expanded through the development of live and historical racing entertainment venues, the growth of the TwinSpires horse racing online wagering business, expanded pari-mutuel content and technology services to B2C platforms, and the operation and development of regional casino gaming properties.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 our business through three reportable segments: Live and Historical Racing, TwinSpires, and Gaming. We aggregate our other businesses as well as certain corporate operations, and other immaterial joint ventures, in All Other.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Indicators to Evaluate Business Results and Financial Condition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monitors a variety of key indicators to evaluate our business results and financial condition. These indicators include changes in net revenue, operating expense, operating income, earnings per share, outstanding debt balance, operating cash flow, and capital spend.</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U.S. generally accepted accounting principles ("GAAP"). We also use non-GAAP measures, including EBITDA (earnings before interest, taxes, depreciation and amortization) and Adjusted EBITDA. We believe that the use of Adjusted EBITDA as a key performance measure of results of operations enables management and investors to evaluate and compare from period to period our operating performance in a meaningful and consistent manner. Our chief operating decision maker utilizes Adjusted EBITDA to evaluate segment performance, develop strategy, and allocate resources. Adjusted EBITDA is a supplemental measure of our performance that is not required by, or presented in accordance with, GAAP. Adjusted EBITDA should not be considered as an alternative to, or more meaningful than, net income (as determined in accordance with GAAP) as a measure of our operating results.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defined as earnings before interest, taxes, depreciation and amortization, adjusted for the following: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includes our portion of EBITDA from our equity investments.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EBITDA excludes:</w:t>
      </w:r>
    </w:p>
    <w:p>
      <w:pPr>
        <w:spacing w:after="0" w:line="117"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net which includes:</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Acquisition, disposition, and property sale related charges;</w:t>
      </w:r>
    </w:p>
    <w:p>
      <w:pPr>
        <w:spacing w:after="0" w:line="6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transaction expense, including legal, accounting and other deal-related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property sales;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reserves;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expense;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recoveries and expenses</w:t>
      </w:r>
    </w:p>
    <w:p>
      <w:pPr>
        <w:spacing w:after="0" w:line="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2021, our property in Arlington Heights, Illinois ("Arlington") ceased racing and simulcast operations and the property was sold on February 15, 2023 to the Chicago Bears. Arlington's results and exit costs in 2023 are treated as an adjustment to EBITDA and are included in other</w:t>
      </w:r>
    </w:p>
    <w:p>
      <w:pPr>
        <w:spacing w:after="0"/>
        <w:rPr>
          <w:sz w:val="20"/>
          <w:szCs w:val="20"/>
          <w:color w:val="auto"/>
        </w:rPr>
      </w:pPr>
      <w:r>
        <w:rPr>
          <w:rFonts w:ascii="Times New Roman" w:cs="Times New Roman" w:eastAsia="Times New Roman" w:hAnsi="Times New Roman"/>
          <w:sz w:val="18"/>
          <w:szCs w:val="18"/>
          <w:color w:val="auto"/>
        </w:rPr>
        <w:t>expenses, net in the Reconciliation of Comprehensive Income to Adjusted EBITDA</w:t>
      </w:r>
      <w:r>
        <w:rPr>
          <w:rFonts w:ascii="Times New Roman" w:cs="Times New Roman" w:eastAsia="Times New Roman" w:hAnsi="Times New Roman"/>
          <w:sz w:val="21"/>
          <w:szCs w:val="21"/>
          <w:color w:val="auto"/>
        </w:rPr>
        <w:t>.</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26, 2023, the Company's management agreement for Lady Luck Casino Nemacolin ("Lady Luck") in Farmington, Pennsylvania expired and was not renewed. The Company completed the sale of substantially all its assets at Lady Luck for an immaterial amount.</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segment reporting, Adjusted EBITDA includes intercompany revenue and expense totals that are eliminated in the Condensed Consolidated Statements of Comprehensive Income. See the Reconciliation of Comprehensive Income to Adjusted EBITDA included in this section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311150</wp:posOffset>
            </wp:positionV>
            <wp:extent cx="7098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Governmental Regulations and Legislative Changes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various federal, state, and international laws and regulations that affect our businesses. The ownership, operation, and management of our Live and Historical Racing, TwinSpires, and Gaming segments, as well as our other operations, are subject to regulation under the laws and regulations of each of the jurisdictions in which we operate. The ownership, operation, and management of our businesses and properties are also subject to legislative actions at both the federal and state level. The following update on our regulatory and legislative actions should be read in conjunction with our Annual Report on Form 10-K for the year ended December 31, 2023, including Part I - Item 1, "Business" for a discussion of regulatory and legislative changes.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State Gaming Regulations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Louisiana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Louisiana, the 2021 Historical Horse Racing Act (the "2021 HHR Act") allows off-track betting facilities ("OTBs") to have up to 50 HRMs. On October 25, 2022, a number of individual plaintiffs associated with video poker and truckstops, filed a lawsuit in the 19th Judicial District Court in East Baton Rouge, Louisiana against certain racetracks in Louisiana, including our Fair Grounds Racecourse and Slots property, alleging that the 2021 HHR Act is unconstitutional to the extent it purports to permit historical racing in a parish without a referendum. On June 8, 2023, plaintiffs filed a motion for summary judgment on the constitutional issues raised in their complaint and a hearing was conducted on September 11, 2023.</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2024 the judge issued a ruling in favor of plaintiffs granting summary judgment stating that: (i) historical horseracing is a new form of gaming not specifically authorized by law prior to 1996; (ii) historical horseracing may not be conducted in any parish of the state unless voters approve it through referendum; and (iii) the 2021 HHR Act that authorized historical horseracing is unconstitutional. The summary judgment, which was certified as final for purposes of appeal, was entered on March 18, 2024, and the Company, along with other interested parties including the Louisiana Racing Commission, filed a joint motion for a suspensive appeal, which was entered on March 26, 2024. The suspensive appeal allows the continued operation of HHR during the pendency of the appeal before the Louisiana Supreme Court. The Company intends to vigorously defend the constitutionality of the HHR Act.</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approximately 500 HRMs in OTBs in Louisiana. If the 2021 HHR Act is determined to be unconstitutional it could have an adverse impact on our Louisiana HRM results which are reported in our Gaming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Results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net revenue, operating income, net income, Adjusted EBITDA, and certain other financial information:</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0" w:type="dxa"/>
            <w:vAlign w:val="bottom"/>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590.9</w:t>
            </w:r>
          </w:p>
        </w:tc>
        <w:tc>
          <w:tcPr>
            <w:tcW w:w="120" w:type="dxa"/>
            <w:vAlign w:val="bottom"/>
          </w:tcPr>
          <w:p>
            <w:pPr>
              <w:spacing w:after="0"/>
              <w:rPr>
                <w:sz w:val="18"/>
                <w:szCs w:val="18"/>
                <w:color w:val="auto"/>
              </w:rPr>
            </w:pPr>
          </w:p>
        </w:tc>
        <w:tc>
          <w:tcPr>
            <w:tcW w:w="12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margin</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21" w:lineRule="exact"/>
        <w:rPr>
          <w:sz w:val="20"/>
          <w:szCs w:val="20"/>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revenue increased $31.4 million driven by a $30.7 million increase from the Live and Historical Racing segment primarily due to the opening of our Rosie's Emporia property in September 2023 and growth at our other HRM properties and an $11.8 million increase from the TwinSpires segment primarily due the Exacta Transaction. Partially offsetting these increases was an $11.1 million decrease primarily from the Gaming segment driven by our decision not to renew the management agreement at Lady Luck in June 2023 and inclement weather in January 2024 across many of our Gaming properties.</w:t>
      </w:r>
    </w:p>
    <w:p>
      <w:pPr>
        <w:spacing w:after="0" w:line="7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Operating income increased $6.4 million due to a $16.8 million increase in the Live and Historical Racing segment primarily due to savings as a result of the Exacta Transaction, the opening of our Rosie's Emporia property in September 2023, and growth at our other HRM properties, a $9.6 million increase in the TwinSpires segment primarily due to the Exacta Transaction, and decreased All Other net operating expenses of $2.6 million primarily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314325</wp:posOffset>
            </wp:positionV>
            <wp:extent cx="7098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Arlington exit costs in 2023. Partially offsetting these increases to operating income was a $15.8 million decrease in the Gaming segment primarily due to inclement weather at many of our Gaming properties in January 2024, a $4.3 million increase in transaction expenses, and a $2.5 million increase in selling, general and administrative expenses.</w:t>
      </w:r>
    </w:p>
    <w:p>
      <w:pPr>
        <w:spacing w:after="0" w:line="68" w:lineRule="exact"/>
        <w:rPr>
          <w:sz w:val="20"/>
          <w:szCs w:val="20"/>
          <w:color w:val="auto"/>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Net income decreased $75.3 million. The following impacted the comparability of the Company's net income for the three months ended March 31, 2024 compared to the three months ended March 31, 2023: an $86.2 million after-tax gain on the sale of the Arlington property in the prior year quarter and a $4.4 million after-tax net increase in adjustments related to transaction, pre-opening and other expenses, partially offset by a $5.2 million after-tax increase of other recoveries, net related to non-recurring insurance claim recoveries. Excluding these items, net income increased $10.1 million primarily due to a $14.7 million after-tax increase primarily driven by the results of our operations, partially offset by a $4.6 million after-tax increase in interest expense associated with higher outstanding debt balances and higher interest rates.</w:t>
      </w:r>
    </w:p>
    <w:p>
      <w:pPr>
        <w:spacing w:after="0" w:line="79"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Adjusted EBITDA increased $19.6 million driven by an $18.7 million increase from the Live and Historical Racing segment primarily due to $5.8 million of savings as a result of the Exacta Transaction and a $12.9 million increase due to the growth at our HRM properties and the opening of our Rosie's Emporia property in September 2023, and a $10.2 million increase from the TwinSpires segment primarily attributable to the Exacta Transaction. Partially offsetting these increases was a $6.7 million decrease from the Gaming segment primarily due to inclement weather in January 2024 at many of our Gaming properties and a decrease in All Other adjusted EBITDA of $2.6 million driven by increased corporate compensation expenses and administrative fees.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for our segments, including intercompany revenue: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0"/>
        </w:trPr>
        <w:tc>
          <w:tcPr>
            <w:tcW w:w="5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TwinSpires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2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
        </w:trPr>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67"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Live and Historical Racing revenue increased $33.1 million due to an $18.3 million increase attributable to growth at our Kentucky HRM properties, a $13.5 million increase attributable to growth at our Virginia properties and the opening of our Rosie's Emporia property in September 2023, and a $1.3 million increase at our other Live and Historical Racing properties.</w:t>
      </w:r>
    </w:p>
    <w:p>
      <w:pPr>
        <w:spacing w:after="0" w:line="67"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TwinSpires revenue increased $17.8 million due to a $14.3 million increase attributable to the Exacta Transaction, a $2.3 million increase attributable to our retail and online sports betting business, and a $1.2 million increase in Horse Racing revenue.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revenue decreased $8.4 million due to a $6.3 million decrease in Pennsylvania primarily due to our decision not to renew the management agreement at Lady Luck in June 2023 and a $2.1 million net decrease at our other gaming properties primarily due to inclement weather in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Consolidated Operating Expense</w:t>
      </w:r>
    </w:p>
    <w:p>
      <w:pPr>
        <w:sectPr>
          <w:pgSz w:w="11900" w:h="16838" w:orient="portrait"/>
          <w:cols w:equalWidth="0" w:num="1">
            <w:col w:w="11240"/>
          </w:cols>
          <w:pgMar w:left="320" w:top="1251" w:right="339" w:bottom="1440" w:gutter="0" w:footer="0" w:header="0"/>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consolidated operating expense:</w:t>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Gaming taxes and purses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Salaries and benefits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Content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Marketing and advertising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Maintenance, insurance and utilities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other taxes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Transaction expense,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operating expense</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expense</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33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7"/>
        </w:trPr>
        <w:tc>
          <w:tcPr>
            <w:tcW w:w="3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3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464.6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60" w:space="540"/>
            <w:col w:w="5440"/>
          </w:cols>
          <w:pgMar w:left="320" w:top="125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gaming taxes and purses, salaries and benefits, selling, general and administrative, marketing and advertising, and depreciation and amortization increased primarily due to the Exacta Transaction in August 2023, the opening of our Rosie's Emporia property in late September 2023 and our Derby City Gaming Downtown property in December 2023, and added costs related to Terre Haute Casino in Indiana that opened on April 5, 2024 and The Rose HRM entertainment facility that is scheduled to open in late September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use of Adjusted EBITDA as a key performance measure of the results of operations enables management and investors to evaluate and compare from period to period our operating performance in a meaningful and consistent manner. Adjusted EBITDA is a supplemental measure of our performance that is not required by or presented in accordance with GAAP. Adjusted EBITDA should not be considered as an alternative to operating income as an indicator of performance, as an alternative to cash flows from operating activities as a measure of liquidity, or as an alternative to any other measure provided in accordance with GAAP.</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7"/>
        </w:trPr>
        <w:tc>
          <w:tcPr>
            <w:tcW w:w="5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Live and Historical Racing</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TwinSpires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Gaming</w:t>
            </w: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(6.7)</w:t>
            </w:r>
          </w:p>
        </w:tc>
      </w:tr>
      <w:tr>
        <w:trPr>
          <w:trHeight w:val="21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19.6</w:t>
            </w:r>
          </w:p>
        </w:tc>
      </w:tr>
      <w:tr>
        <w:trPr>
          <w:trHeight w:val="21"/>
        </w:trPr>
        <w:tc>
          <w:tcPr>
            <w:tcW w:w="5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54" w:lineRule="exact"/>
        <w:rPr>
          <w:sz w:val="20"/>
          <w:szCs w:val="20"/>
          <w:color w:val="auto"/>
        </w:rPr>
      </w:pPr>
    </w:p>
    <w:p>
      <w:pPr>
        <w:jc w:val="both"/>
        <w:ind w:left="660" w:hanging="328"/>
        <w:spacing w:after="0" w:line="24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and Historical Racing Adjusted EBITDA increased $18.7 million due to a $12.9 million increase attributable to growth at our Virginia properties which includes $5.8 million of savings related to the Exacta Transaction, and an $8.5 million increase from our Kentucky HRM properties. These increases were offset by a $2.7 million decrease at Churchill Downs Racetrack driven by increased maintenance and promotional expenses in preparation for the 150th Kentucky Oaks and Derby.</w:t>
      </w:r>
    </w:p>
    <w:p>
      <w:pPr>
        <w:spacing w:after="0" w:line="7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TwinSpires Adjusted EBITDA increased $10.2 million due to a $9.4 million increase attributable to the Exacta Transaction and a $1.4 million increase attributable to our retail and online sports betting business, partially offset by a $0.6 million decrease in Horse Racing primarily driven by lower retail volume.</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Adjusted EBITDA decreased $6.7 million primarily due to inclement weather in January 2024 at many of our gaming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342900</wp:posOffset>
            </wp:positionV>
            <wp:extent cx="70980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8" w:name="page29"/>
    <w:bookmarkEnd w:id="28"/>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Adjusted EBITDA decreased $2.6 million driven primarily by increased corporate compensation related expenses and other corporate administrative expenses.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Comprehensive Income to Adjusted EBITDA</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EBITDA</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Adjustments to EBITDA:</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46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Pre-opening expense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 expense, net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62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Interest, depreciation and amortization expense related to equity</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charges and recoveries, net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Gain on sale of Arlington</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adjustments to EBITDA</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our overall financial position:</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items affecting the comparability of our Condensed Consolidated Balance Sheets include:</w:t>
      </w:r>
    </w:p>
    <w:p>
      <w:pPr>
        <w:spacing w:after="0" w:line="117" w:lineRule="exact"/>
        <w:rPr>
          <w:sz w:val="20"/>
          <w:szCs w:val="20"/>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increased $111.3 million driven by increased capital expenditures primarily at the Terre Haute Casino Resort, Churchill Downs Racetrack, and The Rose Gaming Resort in Dumfries, Virginia.</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increased $178.0 million driven by increased long-term debt and deferred revenue primarily due to increased advanced ticket sales related to the 150th Kentucky Derby.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decreased $66.7 million driven by current year share repurchases, partially offset by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1466215</wp:posOffset>
            </wp:positionV>
            <wp:extent cx="7098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liquidity and cash flows: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8"/>
              </w:rPr>
              <w:t>254.7</w:t>
            </w:r>
          </w:p>
        </w:tc>
        <w:tc>
          <w:tcPr>
            <w:tcW w:w="100" w:type="dxa"/>
            <w:vAlign w:val="bottom"/>
          </w:tcPr>
          <w:p>
            <w:pPr>
              <w:spacing w:after="0"/>
              <w:rPr>
                <w:sz w:val="18"/>
                <w:szCs w:val="18"/>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0"/>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4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34"/>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0"/>
                <w:szCs w:val="20"/>
                <w:color w:val="auto"/>
              </w:rPr>
            </w:pPr>
          </w:p>
        </w:tc>
        <w:tc>
          <w:tcPr>
            <w:tcW w:w="14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the Three Months Ended March 31, 2023</w:t>
      </w:r>
    </w:p>
    <w:p>
      <w:pPr>
        <w:spacing w:after="0" w:line="67"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increased $38.8 million driven primarily by a decrease in cash used for working capital, an increase in operating income, and decreased interest paid in 2024. We anticipate that cash flows from operations and availability of borrowings under our credit facility over the next twelve months will be adequate to fund our business operations and capital expenditures.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used in investing activities increased $207.9 million driven by $195.7 million proceeds from the Arlington sale in 2023 and an increase in capital project expenditures in 2024 primarily at the Terre Haute Casino Resort, Churchill Downs Racetrack, and The Rose Gaming Resort in Dumfries, Virginia.</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flows used in financing activities decreased $136.6 million primarily driven by a net paydown of debt in the first quarter of 2023, partially offset by share repurchases in the first quarter of 2024.</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announced several project capital investments, including the following: Churchill Downs Racetrack Paddock Project, Owensboro Racing &amp; Gaming in Owensboro, Kentucky, a New Hampshire HRM facility, and The Rose Gaming Resort in Dumfries, Virginia. We currently expect our project capital to be approximately $450.0 to $550.0 million in 2024, although this amount may vary significantly based on the timing of work completed, unanticipated delays, and timing of payments to third parties.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September 29, 2021, the Board of Directors of the Company approved a common stock repurchase program of up to $500.0 million (the "2021 Stock Repurchase Program"). The 2021 Stock Repurchase Program includes and is not in addition to the unspent amount remaining under the prior authorization. Repurchases may be made at management’s discretion from time to time on the open market (either with or without a 10b5-1 plan) or through privately negotiated transactions. The repurchase program has no time limit and may be suspended or discontinued at any time. During the first quarter of 2024, we repurchased 184,821 shares of the Company's common stock under the 2021 Stock Repurchase Program for a total cost of $22.0 million. We had approximately $192.9 million of repurchase authority remaining under this program on March 31, 2024.</w:t>
      </w:r>
    </w:p>
    <w:p>
      <w:pPr>
        <w:spacing w:after="0" w:line="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2, 2024, the Company closed on an agreement, dated December 18, 2023, with an affiliate of The Duchossois Group ("TDG") to repurchase 1,000,000 shares of the Company’s common stock, for $123.75 per share in a privately negotiated transaction for an aggregate purchase price of $123.8 million. This represented a discount of 4.03% to the closing price on December 15, 2023 of $128.95. The repurchase of shares of common stock from TDG was approved by the Company's Board of Directors separately from and did not reduce the authorized amount remaining under the existing common stock repurchase program. The repurchase of the shares was funded using available cash and borrowings under the Company’s 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457835</wp:posOffset>
            </wp:positionV>
            <wp:extent cx="7098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 and Indebtedness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debt outstanding:</w:t>
            </w:r>
          </w:p>
        </w:tc>
        <w:tc>
          <w:tcPr>
            <w:tcW w:w="2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2"/>
                <w:szCs w:val="22"/>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20" w:type="dxa"/>
            <w:vAlign w:val="bottom"/>
          </w:tcPr>
          <w:p>
            <w:pPr>
              <w:spacing w:after="0"/>
              <w:rPr>
                <w:sz w:val="22"/>
                <w:szCs w:val="22"/>
                <w:color w:val="auto"/>
              </w:rPr>
            </w:pPr>
          </w:p>
        </w:tc>
        <w:tc>
          <w:tcPr>
            <w:tcW w:w="16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B-1 due 2028</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 due 2027</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Senior Notes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Senior Notes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Senior Notes</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 Senior Notes</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current maturities</w:t>
            </w:r>
          </w:p>
        </w:tc>
        <w:tc>
          <w:tcPr>
            <w:tcW w:w="2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4"/>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 net of premiums and discounts</w:t>
            </w: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1"/>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Company’s senior secured credit facility (as amended from time to time, the “Credit Agreement") consisted of a $1.2 billion revolving credit facility (the "Revolver"), $300.0 million senior secured term loan B-1 due 2028 (the "Term Loan B-1"), $1.3 billion senior secured term loan A due 2027 (the "Term Loan A"), and $100.0 million swing line commitment.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 Loan B-1 bears interest at the Secured Overnight Financing Rate ("SOFR") plus 210 basis points and requires quarterly payments of 0.25% of the original $300.0 million balance. The Term Loan B-1 may be subject to additional mandatory prepayment from excess cash flow on an annual basis per the provisions of the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and Term Loan A bear interest at SOFR plus 10 basis points, plus a variable applicable margin which is determined by the Company's net leverage ratio. As of March 31, 2024, that applicable margin was 150 basis points which was based on the pricing grid in the Credit Agreement. The Company had $841.9 million available borrowing capacity, after consideration of $5.1 million in outstanding letters of credit, under the Revolver as of March 31, 2024.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a commitment fee on the unused portion of the Revolver as determined by a pricing grid based on the consolidated total net secured leverage ratio of the Company. For the period ended March 31, 2024, the Company's commitment fee rate was 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contractual payments, including interest, under the Credit Agreement for the next twelve months are estimated to be $198.5 million assuming no change in the weighted average borrowing rate of 7.01%, which was in place as of March 31, 2024. During the three months ended March 31, 2024, we had repayments of principal and interest on the Revolver of $136.2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$600.0 million in aggregate principal amount of 5.500% senior unsecured notes that mature on April 1, 2027 (the "2027 Senior Notes"). The 2027 Senior Notes were issued at par in a private offering to qualified institutional buyers, with interest payable in arrears on April 1st and October 1st of each year, commencing on October 1st, 2019. The Company may redeem some or all of the 2027 Senior Notes at redemption prices set forth in the 2027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2028 Senior Notes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we had a total of $700.0 million in aggregate principal amount of 4.750% senior unsecured notes (the “2028 Senior Notes”) maturing on January 15, 2028. The 2028 Senior Notes consist of $500.0 million notes issued at par and $200.0 million notes issued at 103.25%. The 2028 Senior Notes were issued in a private offering to qualified institutional buyers, with interest payable in arrears on January 15th and July 15th of each year, commencing on July 15th, 2018. The 3.25% premium is being amortized through interest expense, net over the term of the notes. The Company may redeem some or all the 2028 Senior Notes at redemption prices set forth in the 2028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316865</wp:posOffset>
            </wp:positionV>
            <wp:extent cx="7098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2030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$1.2 billion in aggregate principal amount of 5.750% senior unsecured notes that mature on April 13, 2030 (the "2030 Senior Notes"). The 2030 Senior Notes were issued at par in a private offering to qualified institutional buyers, with interest payable in arrears on April 1st and October 1st of each year, commencing on October 1st, 2022. The Company may redeem some or all the 2030 Senior Notes at redemption prices set forth in the 2030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2031 Senior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$600.0 million in aggregate principal amount of 6.750% senior unsecured notes that mature on April 25, 2031 (the "2031 Senior Notes"). The 2031 Senior Notes were issued at par in a private offering to qualified institutional buyers, with interest payable in arrears on May 1st and November 1st of each year, commencing on November 1st, 2023. The Company may redeem some or all of the 2031 Notes at any time prior to April 25, 2025, at redemption prices set forth in the 2031 Offering Memorandum.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certain real estate and other property. Most of our building and land leases have terms of 2 to 10 years and include one or more options to renew, with renewal terms that can extend the lease term from 1 to 5 years or more. Certain of our lease agreements include lease payments based on a percentage of net gaming revenue and others include rental payment adjustments periodically for inflation. As of March 31, 2024, minimum rent payable under operating leases was $24.4 million, with $5.9 million due in the next twelve months. As of March 31, 2024, minimum rent payable accounted for as financing obligations was $58.7 million, with $4.9 million due in the next twelve months.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other contractual obligations that consist primarily of minimum guarantees with commitments of $14.0 million, $1.5 million of which is due within the next twelve months.</w:t>
      </w:r>
    </w:p>
    <w:p>
      <w:pPr>
        <w:spacing w:after="0" w:line="104"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color w:val="auto"/>
        </w:rPr>
        <w:t>We are exposed to market risks arising from adverse changes in:</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credit risk.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trends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sensitive to consumer confidence and reductions in consumers' discretionary spending, which may result from challenging economic conditions, inflation, unemployment levels and other changes in the economy. Demand for entertainment and leisure activities is sensitive to consumers’ disposable incomes, which can be adversely affected by economic conditions and unemployment levels. This could result in fewer patrons visiting our racetracks, HRM entertainment venues, online wagering sites, and gaming facilities, and/or may impact our customers’ ability to wager with the same frequency and to maintain wagering levels.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credit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exposure to market risk relates to changes in interest rates. On March 31, 2024, we had $1.9 billion outstanding under our Credit Agreement, which bears interest at SOFR based variable rates. We are exposed to market risk on variable rate debt due to potential adverse changes in these rates. Assuming the outstanding balance of the debt facility remains constant, a one-percentage point increase in the SOFR rate would reduce net income and cash flows from operating activities by $13.7 million.</w:t>
      </w:r>
    </w:p>
    <w:p>
      <w:pPr>
        <w:spacing w:after="0" w:line="122"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that we file under the Securities Exchange Act of 1934, as amended,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required by the Securities and Exchange Commission Rule 13a-15(e), we carried out an evaluation, under the supervision and with the participation of management, including our Chief Executive Officer and Chief Financial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302895</wp:posOffset>
            </wp:positionV>
            <wp:extent cx="7098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effectiveness of the design and operation of our disclosure controls and procedures as of March 31, 2024. Based upon the foregoing, our Chief Executive Officer and Chief Financial Officer concluded that our disclosure controls and procedures were effective.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during our most recent fiscal quarter that has materially affected, or is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3" w:name="page34"/>
    <w:bookmarkEnd w:id="3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involved in ordinary routine litigation matters which are incidental to our business. Refer to Note 13, Contingencies, in the notes to our condensed consolidated financial statements, for further information.</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previously disclosed in Part I, Item 1A of our Annual Report on Form 10-K for the year ended December 31, 2023.</w:t>
      </w:r>
    </w:p>
    <w:p>
      <w:pPr>
        <w:spacing w:after="0" w:line="158"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Common Stock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that we repurchased during the quarter ended March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5"/>
                <w:szCs w:val="15"/>
                <w:color w:val="auto"/>
              </w:rPr>
            </w:pPr>
          </w:p>
        </w:tc>
        <w:tc>
          <w:tcPr>
            <w:tcW w:w="1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5"/>
        </w:trPr>
        <w:tc>
          <w:tcPr>
            <w:tcW w:w="3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 Programs (in</w:t>
            </w:r>
          </w:p>
        </w:tc>
        <w:tc>
          <w:tcPr>
            <w:tcW w:w="0" w:type="dxa"/>
            <w:vAlign w:val="bottom"/>
          </w:tcPr>
          <w:p>
            <w:pPr>
              <w:spacing w:after="0"/>
              <w:rPr>
                <w:sz w:val="1"/>
                <w:szCs w:val="1"/>
                <w:color w:val="auto"/>
              </w:rPr>
            </w:pPr>
          </w:p>
        </w:tc>
      </w:tr>
      <w:tr>
        <w:trPr>
          <w:trHeight w:val="250"/>
        </w:trPr>
        <w:tc>
          <w:tcPr>
            <w:tcW w:w="3840" w:type="dxa"/>
            <w:vAlign w:val="bottom"/>
            <w:gridSpan w:val="2"/>
            <w:vMerge w:val="continue"/>
          </w:tcPr>
          <w:p>
            <w:pPr>
              <w:spacing w:after="0"/>
              <w:rPr>
                <w:sz w:val="21"/>
                <w:szCs w:val="21"/>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21"/>
                <w:szCs w:val="21"/>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Programs </w:t>
            </w:r>
            <w:r>
              <w:rPr>
                <w:rFonts w:ascii="Times New Roman" w:cs="Times New Roman" w:eastAsia="Times New Roman" w:hAnsi="Times New Roman"/>
                <w:sz w:val="23"/>
                <w:szCs w:val="23"/>
                <w:b w:val="1"/>
                <w:bCs w:val="1"/>
                <w:color w:val="auto"/>
                <w:w w:val="95"/>
                <w:vertAlign w:val="superscript"/>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center"/>
              <w:ind w:right="170"/>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millions)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5"/>
        </w:trPr>
        <w:tc>
          <w:tcPr>
            <w:tcW w:w="3740" w:type="dxa"/>
            <w:vAlign w:val="bottom"/>
            <w:tcBorders>
              <w:top w:val="single" w:sz="8" w:color="auto"/>
            </w:tcBorders>
          </w:tcPr>
          <w:p>
            <w:pPr>
              <w:jc w:val="center"/>
              <w:spacing w:after="0" w:line="224" w:lineRule="exact"/>
              <w:rPr>
                <w:sz w:val="20"/>
                <w:szCs w:val="20"/>
                <w:color w:val="auto"/>
              </w:rPr>
            </w:pPr>
            <w:r>
              <w:rPr>
                <w:rFonts w:ascii="Times New Roman" w:cs="Times New Roman" w:eastAsia="Times New Roman" w:hAnsi="Times New Roman"/>
                <w:sz w:val="18"/>
                <w:szCs w:val="18"/>
                <w:color w:val="auto"/>
                <w:w w:val="96"/>
              </w:rPr>
              <w:t>January 2024</w:t>
            </w:r>
            <w:r>
              <w:rPr>
                <w:rFonts w:ascii="Times New Roman" w:cs="Times New Roman" w:eastAsia="Times New Roman" w:hAnsi="Times New Roman"/>
                <w:sz w:val="23"/>
                <w:szCs w:val="23"/>
                <w:color w:val="auto"/>
                <w:w w:val="96"/>
                <w:vertAlign w:val="superscript"/>
              </w:rPr>
              <w:t>(2)</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00" w:type="dxa"/>
            <w:vAlign w:val="bottom"/>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9"/>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34"/>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2024</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23"/>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1,246,427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500" w:hanging="492"/>
        <w:spacing w:after="0" w:line="266"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29, 2021, the Board of Directors of the Company approved a common stock repurchase program of up to $500.0 million. The 2021 Stock Repurchase Program includes and is not in addition to the unspent amount remaining under the prior authorization. The repurchase program has no time limit and may be suspended or discontinued at any time.</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2024, the Company closed on an agreement (the “2023 Stock Repurchase Agreement”) with an affiliate of The Duchossois Group ("TDG") to repurchase 1,000,000 shares of the Company’s common stock, for $123.75 per share. The repurchase of shares of common stock from TDG pursuant to the 2023 Stock Repurchase Agreement was approved by the Company's Board of Directors separately from and did not reduce the authorized amount remaining under the existing common stock repurchase program.</w:t>
      </w:r>
    </w:p>
    <w:p>
      <w:pPr>
        <w:spacing w:after="0" w:line="176"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2024, none of the Company’s directors or executive officers adopted or terminated any contract, instruction or written plan for the purchase or sale of Company securities that was intended to satisfy the affirmative defense conditions of Rule 10b5-1 or any non-Rule 10b5-1 trading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311785</wp:posOffset>
            </wp:positionV>
            <wp:extent cx="7098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4" w:name="page35"/>
    <w:bookmarkEnd w:id="3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8" w:lineRule="exact"/>
        <w:rPr>
          <w:sz w:val="20"/>
          <w:szCs w:val="20"/>
          <w:color w:val="auto"/>
        </w:rPr>
      </w:pPr>
    </w:p>
    <w:p>
      <w:pPr>
        <w:ind w:left="20"/>
        <w:spacing w:after="0"/>
        <w:tabs>
          <w:tab w:leader="none" w:pos="1220" w:val="left"/>
          <w:tab w:leader="none" w:pos="63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r>
        <w:rPr>
          <w:sz w:val="20"/>
          <w:szCs w:val="20"/>
          <w:color w:val="auto"/>
        </w:rPr>
        <w:tab/>
      </w:r>
      <w:r>
        <w:rPr>
          <w:rFonts w:ascii="Times New Roman" w:cs="Times New Roman" w:eastAsia="Times New Roman" w:hAnsi="Times New Roman"/>
          <w:sz w:val="17"/>
          <w:szCs w:val="17"/>
          <w:b w:val="1"/>
          <w:bCs w:val="1"/>
          <w:u w:val="single" w:color="auto"/>
          <w:color w:val="auto"/>
        </w:rPr>
        <w:t>By reference to:</w:t>
      </w:r>
    </w:p>
    <w:p>
      <w:pPr>
        <w:spacing w:after="0" w:line="391" w:lineRule="exact"/>
        <w:rPr>
          <w:sz w:val="20"/>
          <w:szCs w:val="20"/>
          <w:color w:val="auto"/>
        </w:rPr>
      </w:pPr>
    </w:p>
    <w:p>
      <w:pPr>
        <w:ind w:left="1240" w:right="4019" w:hanging="859"/>
        <w:spacing w:after="0" w:line="237" w:lineRule="auto"/>
        <w:tabs>
          <w:tab w:leader="none" w:pos="1220" w:val="left"/>
        </w:tabs>
        <w:rPr>
          <w:sz w:val="20"/>
          <w:szCs w:val="20"/>
          <w:color w:val="auto"/>
        </w:rPr>
      </w:pPr>
      <w:r>
        <w:rPr>
          <w:rFonts w:ascii="Times New Roman" w:cs="Times New Roman" w:eastAsia="Times New Roman" w:hAnsi="Times New Roman"/>
          <w:sz w:val="18"/>
          <w:szCs w:val="18"/>
          <w:color w:val="auto"/>
        </w:rPr>
        <w:t>31(a)</w:t>
      </w:r>
      <w:r>
        <w:rPr>
          <w:sz w:val="20"/>
          <w:szCs w:val="20"/>
          <w:color w:val="auto"/>
        </w:rPr>
        <w:tab/>
      </w:r>
      <w:r>
        <w:rPr>
          <w:rFonts w:ascii="Times New Roman" w:cs="Times New Roman" w:eastAsia="Times New Roman" w:hAnsi="Times New Roman"/>
          <w:sz w:val="18"/>
          <w:szCs w:val="18"/>
          <w:color w:val="auto"/>
        </w:rPr>
        <w:t>Certification of Chief Executive Officer Pursuant to Section 302 of the Sarbanes-Oxley Act of 2002*</w:t>
      </w:r>
    </w:p>
    <w:p>
      <w:pPr>
        <w:spacing w:after="0" w:line="64" w:lineRule="exact"/>
        <w:rPr>
          <w:sz w:val="20"/>
          <w:szCs w:val="20"/>
          <w:color w:val="auto"/>
        </w:rPr>
      </w:pPr>
    </w:p>
    <w:p>
      <w:pPr>
        <w:ind w:left="1240" w:right="4019" w:hanging="879"/>
        <w:spacing w:after="0" w:line="237" w:lineRule="auto"/>
        <w:tabs>
          <w:tab w:leader="none" w:pos="122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color w:val="auto"/>
        </w:rPr>
        <w:t>Certification of Principal Financial Officer Pursuant to Section 302 of the Sarbanes-Oxley Act of 2002*</w:t>
      </w:r>
    </w:p>
    <w:p>
      <w:pPr>
        <w:spacing w:after="0" w:line="64" w:lineRule="exact"/>
        <w:rPr>
          <w:sz w:val="20"/>
          <w:szCs w:val="20"/>
          <w:color w:val="auto"/>
        </w:rPr>
      </w:pPr>
    </w:p>
    <w:p>
      <w:pPr>
        <w:ind w:left="1240" w:right="3919" w:hanging="768"/>
        <w:spacing w:after="0" w:line="224"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Chief Executive Officer and Principal Financial Officer Pursuant to 18 U.S.C. Section 1350, As Adopted Pursuant to Section 906 of the Sarbanes-Oxley Act of 2002 (furnished pursuant to Rule 13a – 14(b))**</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101.INS</w:t>
            </w: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w:t>
            </w:r>
          </w:p>
        </w:tc>
      </w:tr>
      <w:tr>
        <w:trPr>
          <w:trHeight w:val="184"/>
        </w:trPr>
        <w:tc>
          <w:tcPr>
            <w:tcW w:w="860" w:type="dxa"/>
            <w:vAlign w:val="bottom"/>
          </w:tcPr>
          <w:p>
            <w:pPr>
              <w:spacing w:after="0"/>
              <w:rPr>
                <w:sz w:val="16"/>
                <w:szCs w:val="16"/>
                <w:color w:val="auto"/>
              </w:rPr>
            </w:pPr>
          </w:p>
        </w:tc>
        <w:tc>
          <w:tcPr>
            <w:tcW w:w="514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in the Interactive Data File because its XBRL tags are embedded</w:t>
            </w:r>
          </w:p>
        </w:tc>
      </w:tr>
      <w:tr>
        <w:trPr>
          <w:trHeight w:val="234"/>
        </w:trPr>
        <w:tc>
          <w:tcPr>
            <w:tcW w:w="8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83"/>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Calculation Linkbase Document*</w:t>
            </w:r>
          </w:p>
        </w:tc>
      </w:tr>
      <w:tr>
        <w:trPr>
          <w:trHeight w:val="284"/>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101.DEF</w:t>
            </w: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101.PRE</w:t>
            </w: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34"/>
        </w:trPr>
        <w:tc>
          <w:tcPr>
            <w:tcW w:w="8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58" w:lineRule="exact"/>
        <w:rPr>
          <w:sz w:val="20"/>
          <w:szCs w:val="20"/>
          <w:color w:val="auto"/>
        </w:rPr>
      </w:pPr>
    </w:p>
    <w:p>
      <w:pPr>
        <w:ind w:left="1240" w:right="4159" w:hanging="813"/>
        <w:spacing w:after="0" w:line="237"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as Inline XBRL and contained in Exhibit 101)</w:t>
      </w:r>
    </w:p>
    <w:p>
      <w:pPr>
        <w:spacing w:after="0" w:line="63" w:lineRule="exact"/>
        <w:rPr>
          <w:rFonts w:ascii="Times New Roman" w:cs="Times New Roman" w:eastAsia="Times New Roman" w:hAnsi="Times New Roman"/>
          <w:sz w:val="18"/>
          <w:szCs w:val="18"/>
          <w:color w:val="auto"/>
        </w:rPr>
      </w:pPr>
    </w:p>
    <w:p>
      <w:pPr>
        <w:ind w:left="1240" w:right="7319"/>
        <w:spacing w:after="0" w:line="3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474345</wp:posOffset>
            </wp:positionV>
            <wp:extent cx="70980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FORM 10-Q FOR THE QUARTERLY PERIOD ENDED MARCH 31, 2024</w:t>
      </w:r>
    </w:p>
    <w:p>
      <w:pPr>
        <w:spacing w:after="0" w:line="3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130175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197"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CHURCHILL DOWNS INCORPORATED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24, 2024</w:t>
            </w:r>
          </w:p>
        </w:tc>
        <w:tc>
          <w:tcPr>
            <w:tcW w:w="3560" w:type="dxa"/>
            <w:vAlign w:val="bottom"/>
          </w:tcPr>
          <w:p>
            <w:pPr>
              <w:spacing w:after="0"/>
              <w:rPr>
                <w:sz w:val="20"/>
                <w:szCs w:val="20"/>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C. Carstanjen</w:t>
            </w:r>
          </w:p>
        </w:tc>
        <w:tc>
          <w:tcPr>
            <w:tcW w:w="180" w:type="dxa"/>
            <w:vAlign w:val="bottom"/>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C. Carstanjen</w:t>
            </w:r>
          </w:p>
        </w:tc>
        <w:tc>
          <w:tcPr>
            <w:tcW w:w="1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20"/>
                <w:szCs w:val="20"/>
                <w:color w:val="auto"/>
              </w:rPr>
            </w:pPr>
          </w:p>
        </w:tc>
      </w:tr>
      <w:tr>
        <w:trPr>
          <w:trHeight w:val="101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24, 2024</w:t>
            </w:r>
          </w:p>
        </w:tc>
        <w:tc>
          <w:tcPr>
            <w:tcW w:w="356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Marcia A. Dall</w:t>
            </w:r>
          </w:p>
        </w:tc>
        <w:tc>
          <w:tcPr>
            <w:tcW w:w="1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Marcia A. Dall</w:t>
            </w:r>
          </w:p>
        </w:tc>
        <w:tc>
          <w:tcPr>
            <w:tcW w:w="1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 w:type="dxa"/>
            <w:vAlign w:val="bottom"/>
          </w:tcPr>
          <w:p>
            <w:pPr>
              <w:spacing w:after="0"/>
              <w:rPr>
                <w:sz w:val="20"/>
                <w:szCs w:val="20"/>
                <w:color w:val="auto"/>
              </w:rPr>
            </w:pPr>
          </w:p>
        </w:tc>
      </w:tr>
      <w:tr>
        <w:trPr>
          <w:trHeight w:val="715"/>
        </w:trPr>
        <w:tc>
          <w:tcPr>
            <w:tcW w:w="2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0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FORM 10-Q FOR THE QUARTERLY PERIOD ENDED MARCH 31, 2024</w:t>
            </w:r>
          </w:p>
        </w:tc>
        <w:tc>
          <w:tcPr>
            <w:tcW w:w="1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8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r>
    </w:tbl>
    <w:p>
      <w:pPr>
        <w:sectPr>
          <w:pgSz w:w="11900" w:h="16838" w:orient="portrait"/>
          <w:cols w:equalWidth="0" w:num="1">
            <w:col w:w="11220"/>
          </w:cols>
          <w:pgMar w:left="320" w:top="1089" w:right="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Carstanjen, certify that:</w:t>
      </w:r>
    </w:p>
    <w:p>
      <w:pPr>
        <w:spacing w:after="0" w:line="225"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Downs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right="240" w:hanging="480"/>
        <w:spacing w:after="0" w:line="266"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40" w:hanging="480"/>
        <w:spacing w:after="0" w:line="266"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0" w:val="left"/>
          <w:tab w:leader="none" w:pos="6180" w:val="left"/>
        </w:tabs>
        <w:rPr>
          <w:sz w:val="20"/>
          <w:szCs w:val="20"/>
          <w:color w:val="auto"/>
        </w:rPr>
      </w:pPr>
      <w:r>
        <w:rPr>
          <w:rFonts w:ascii="Times New Roman" w:cs="Times New Roman" w:eastAsia="Times New Roman" w:hAnsi="Times New Roman"/>
          <w:sz w:val="18"/>
          <w:szCs w:val="18"/>
          <w:color w:val="auto"/>
        </w:rPr>
        <w:t>Date:</w:t>
        <w:tab/>
        <w:t>April 24, 2024</w:t>
      </w:r>
      <w:r>
        <w:rPr>
          <w:sz w:val="20"/>
          <w:szCs w:val="20"/>
          <w:color w:val="auto"/>
        </w:rPr>
        <w:tab/>
      </w:r>
      <w:r>
        <w:rPr>
          <w:rFonts w:ascii="Times New Roman" w:cs="Times New Roman" w:eastAsia="Times New Roman" w:hAnsi="Times New Roman"/>
          <w:sz w:val="18"/>
          <w:szCs w:val="18"/>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00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C. Carstanjen</w:t>
      </w:r>
    </w:p>
    <w:p>
      <w:pPr>
        <w:ind w:left="620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Marcia A. Dall,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Churchill Downs Incorporated;</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460" w:right="240" w:hanging="480"/>
        <w:spacing w:after="0" w:line="266"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460" w:right="40" w:hanging="480"/>
        <w:spacing w:after="0" w:line="266"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00" w:val="left"/>
          <w:tab w:leader="none" w:pos="6180" w:val="left"/>
        </w:tabs>
        <w:rPr>
          <w:sz w:val="20"/>
          <w:szCs w:val="20"/>
          <w:color w:val="auto"/>
        </w:rPr>
      </w:pPr>
      <w:r>
        <w:rPr>
          <w:rFonts w:ascii="Times New Roman" w:cs="Times New Roman" w:eastAsia="Times New Roman" w:hAnsi="Times New Roman"/>
          <w:sz w:val="18"/>
          <w:szCs w:val="18"/>
          <w:color w:val="auto"/>
        </w:rPr>
        <w:t>Date:</w:t>
        <w:tab/>
        <w:t>April 24, 2024</w:t>
      </w:r>
      <w:r>
        <w:rPr>
          <w:sz w:val="20"/>
          <w:szCs w:val="20"/>
          <w:color w:val="auto"/>
        </w:rPr>
        <w:tab/>
      </w:r>
      <w:r>
        <w:rPr>
          <w:rFonts w:ascii="Times New Roman" w:cs="Times New Roman" w:eastAsia="Times New Roman" w:hAnsi="Times New Roman"/>
          <w:sz w:val="17"/>
          <w:szCs w:val="17"/>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0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Marcia A. Dall</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Churchill Downs Incorporated (the “Company”) for the quarterly period ended March 31, 2024, as filed with the Securities and Exchange Commission on the date hereof (the “Report”), William C. Carstanjen, as Chief Executive Officer (Principal Executive Officer) of the Company, and Marcia A. Dall, as Executive Vice President and Chief Financial Officer (Principal Financial &amp; Accounting Officer) of the Company, each hereby certifies, pursuant to 18 U.S.C. § 1350, as adopted pursuant to § 906 of the Sarbanes-Oxley Act of 2002, to the best of his or her knowledge, that:</w:t>
      </w:r>
    </w:p>
    <w:p>
      <w:pPr>
        <w:spacing w:after="0" w:line="183"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820" w:right="760" w:hanging="326"/>
        <w:spacing w:after="0" w:line="282" w:lineRule="auto"/>
        <w:tabs>
          <w:tab w:leader="none" w:pos="8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C. Carstanjen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C. Carstanjen</w:t>
      </w:r>
    </w:p>
    <w:p>
      <w:pPr>
        <w:ind w:left="2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24, 2024</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Marcia A. Dall</w:t>
      </w:r>
    </w:p>
    <w:p>
      <w:pPr>
        <w:ind w:left="2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24, 2024</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lvl w:ilvl="1">
      <w:lvlJc w:val="left"/>
      <w:lvlText w:val="\endash "/>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2024-04-24T16:39:56Z</dcterms:created>
  <dcterms:modified xsi:type="dcterms:W3CDTF">2024-04-24T16:39:56Z</dcterms:modified>
</cp:coreProperties>
</file>