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227330</wp:posOffset>
            </wp:positionH>
            <wp:positionV relativeFrom="page">
              <wp:posOffset>688340</wp:posOffset>
            </wp:positionV>
            <wp:extent cx="70942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4220" cy="6985"/>
                    </a:xfrm>
                    <a:prstGeom prst="rect">
                      <a:avLst/>
                    </a:prstGeom>
                    <a:noFill/>
                  </pic:spPr>
                </pic:pic>
              </a:graphicData>
            </a:graphic>
          </wp:anchor>
        </w:drawing>
        <w:t>UNITED STATES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20" w:hanging="448"/>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 the quarterly period ended June 30, 2024</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39" w:lineRule="exact"/>
        <w:rPr>
          <w:sz w:val="24"/>
          <w:szCs w:val="24"/>
          <w:color w:val="auto"/>
        </w:rPr>
      </w:pPr>
    </w:p>
    <w:p>
      <w:pPr>
        <w:ind w:left="520" w:hanging="448"/>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1"/>
              </w:rPr>
              <w:t>to</w:t>
            </w:r>
          </w:p>
        </w:tc>
        <w:tc>
          <w:tcPr>
            <w:tcW w:w="420" w:type="dxa"/>
            <w:vAlign w:val="bottom"/>
            <w:tcBorders>
              <w:bottom w:val="single" w:sz="8" w:color="auto"/>
            </w:tcBorders>
            <w:gridSpan w:val="2"/>
          </w:tcPr>
          <w:p>
            <w:pPr>
              <w:spacing w:after="0"/>
              <w:rPr>
                <w:sz w:val="13"/>
                <w:szCs w:val="13"/>
                <w:color w:val="auto"/>
              </w:rPr>
            </w:pPr>
          </w:p>
        </w:tc>
        <w:tc>
          <w:tcPr>
            <w:tcW w:w="4300" w:type="dxa"/>
            <w:vAlign w:val="bottom"/>
          </w:tcPr>
          <w:p>
            <w:pPr>
              <w:spacing w:after="0"/>
              <w:rPr>
                <w:sz w:val="13"/>
                <w:szCs w:val="13"/>
                <w:color w:val="auto"/>
              </w:rPr>
            </w:pPr>
          </w:p>
        </w:tc>
      </w:tr>
      <w:tr>
        <w:trPr>
          <w:trHeight w:val="181"/>
        </w:trPr>
        <w:tc>
          <w:tcPr>
            <w:tcW w:w="3860" w:type="dxa"/>
            <w:vAlign w:val="bottom"/>
          </w:tcPr>
          <w:p>
            <w:pPr>
              <w:spacing w:after="0"/>
              <w:rPr>
                <w:sz w:val="15"/>
                <w:szCs w:val="15"/>
                <w:color w:val="auto"/>
              </w:rPr>
            </w:pPr>
          </w:p>
        </w:tc>
        <w:tc>
          <w:tcPr>
            <w:tcW w:w="7440" w:type="dxa"/>
            <w:vAlign w:val="bottom"/>
            <w:gridSpan w:val="6"/>
          </w:tcPr>
          <w:p>
            <w:pPr>
              <w:jc w:val="center"/>
              <w:ind w:right="3789"/>
              <w:spacing w:after="0"/>
              <w:rPr>
                <w:sz w:val="20"/>
                <w:szCs w:val="20"/>
                <w:color w:val="auto"/>
              </w:rPr>
            </w:pPr>
            <w:r>
              <w:rPr>
                <w:rFonts w:ascii="Times New Roman" w:cs="Times New Roman" w:eastAsia="Times New Roman" w:hAnsi="Times New Roman"/>
                <w:sz w:val="14"/>
                <w:szCs w:val="14"/>
                <w:color w:val="auto"/>
              </w:rPr>
              <w:t>Commission file number 001-33998</w:t>
            </w:r>
          </w:p>
        </w:tc>
      </w:tr>
      <w:tr>
        <w:trPr>
          <w:trHeight w:val="463"/>
        </w:trPr>
        <w:tc>
          <w:tcPr>
            <w:tcW w:w="11300" w:type="dxa"/>
            <w:vAlign w:val="bottom"/>
            <w:gridSpan w:val="7"/>
          </w:tcPr>
          <w:p>
            <w:pPr>
              <w:jc w:val="center"/>
              <w:spacing w:after="0"/>
              <w:rPr>
                <w:sz w:val="20"/>
                <w:szCs w:val="20"/>
                <w:color w:val="auto"/>
              </w:rPr>
            </w:pPr>
            <w:r>
              <w:rPr>
                <w:rFonts w:ascii="Times New Roman" w:cs="Times New Roman" w:eastAsia="Times New Roman" w:hAnsi="Times New Roman"/>
                <w:sz w:val="34"/>
                <w:szCs w:val="34"/>
                <w:b w:val="1"/>
                <w:bCs w:val="1"/>
                <w:color w:val="auto"/>
                <w:w w:val="99"/>
              </w:rPr>
              <w:t>Churchill Downs Incorporated</w:t>
            </w:r>
          </w:p>
        </w:tc>
      </w:tr>
      <w:tr>
        <w:trPr>
          <w:trHeight w:val="205"/>
        </w:trPr>
        <w:tc>
          <w:tcPr>
            <w:tcW w:w="3860" w:type="dxa"/>
            <w:vAlign w:val="bottom"/>
          </w:tcPr>
          <w:p>
            <w:pPr>
              <w:spacing w:after="0"/>
              <w:rPr>
                <w:sz w:val="17"/>
                <w:szCs w:val="17"/>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02"/>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w w:val="99"/>
              </w:rPr>
              <w:t>Kentucky</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80" w:type="dxa"/>
            <w:vAlign w:val="bottom"/>
            <w:gridSpan w:val="4"/>
          </w:tcPr>
          <w:p>
            <w:pPr>
              <w:jc w:val="right"/>
              <w:ind w:right="1789"/>
              <w:spacing w:after="0"/>
              <w:rPr>
                <w:sz w:val="20"/>
                <w:szCs w:val="20"/>
                <w:color w:val="auto"/>
              </w:rPr>
            </w:pPr>
            <w:r>
              <w:rPr>
                <w:rFonts w:ascii="Times New Roman" w:cs="Times New Roman" w:eastAsia="Times New Roman" w:hAnsi="Times New Roman"/>
                <w:sz w:val="14"/>
                <w:szCs w:val="14"/>
                <w:b w:val="1"/>
                <w:bCs w:val="1"/>
                <w:color w:val="auto"/>
              </w:rPr>
              <w:t>61-0156015</w:t>
            </w:r>
          </w:p>
        </w:tc>
      </w:tr>
      <w:tr>
        <w:trPr>
          <w:trHeight w:val="202"/>
        </w:trPr>
        <w:tc>
          <w:tcPr>
            <w:tcW w:w="642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600 North Hurstbourne Parkway, Suite 400</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19"/>
        </w:trPr>
        <w:tc>
          <w:tcPr>
            <w:tcW w:w="3860" w:type="dxa"/>
            <w:vAlign w:val="bottom"/>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Louisville, Kentucky</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80" w:type="dxa"/>
            <w:vAlign w:val="bottom"/>
            <w:gridSpan w:val="4"/>
          </w:tcPr>
          <w:p>
            <w:pPr>
              <w:jc w:val="right"/>
              <w:ind w:right="1949"/>
              <w:spacing w:after="0"/>
              <w:rPr>
                <w:sz w:val="20"/>
                <w:szCs w:val="20"/>
                <w:color w:val="auto"/>
              </w:rPr>
            </w:pPr>
            <w:r>
              <w:rPr>
                <w:rFonts w:ascii="Times New Roman" w:cs="Times New Roman" w:eastAsia="Times New Roman" w:hAnsi="Times New Roman"/>
                <w:sz w:val="14"/>
                <w:szCs w:val="14"/>
                <w:b w:val="1"/>
                <w:bCs w:val="1"/>
                <w:color w:val="auto"/>
              </w:rPr>
              <w:t>40222</w:t>
            </w:r>
          </w:p>
        </w:tc>
      </w:tr>
      <w:tr>
        <w:trPr>
          <w:trHeight w:val="18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3860" w:type="dxa"/>
            <w:vAlign w:val="bottom"/>
          </w:tcPr>
          <w:p>
            <w:pPr>
              <w:spacing w:after="0"/>
              <w:rPr>
                <w:sz w:val="24"/>
                <w:szCs w:val="24"/>
                <w:color w:val="auto"/>
              </w:rPr>
            </w:pPr>
          </w:p>
        </w:tc>
        <w:tc>
          <w:tcPr>
            <w:tcW w:w="256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(502) 636-4400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4"/>
        </w:trPr>
        <w:tc>
          <w:tcPr>
            <w:tcW w:w="3860" w:type="dxa"/>
            <w:vAlign w:val="bottom"/>
          </w:tcPr>
          <w:p>
            <w:pPr>
              <w:spacing w:after="0"/>
              <w:rPr>
                <w:sz w:val="16"/>
                <w:szCs w:val="16"/>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4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Trading Symbol(s)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No Par Value</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CHDN</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1"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1"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75" w:lineRule="exact"/>
        <w:rPr>
          <w:sz w:val="24"/>
          <w:szCs w:val="24"/>
          <w:color w:val="auto"/>
        </w:rPr>
      </w:pPr>
    </w:p>
    <w:p>
      <w:pPr>
        <w:ind w:right="2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2" w:lineRule="exact"/>
        <w:rPr>
          <w:sz w:val="24"/>
          <w:szCs w:val="24"/>
          <w:color w:val="auto"/>
        </w:rPr>
      </w:pPr>
    </w:p>
    <w:p>
      <w:pPr>
        <w:ind w:right="474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outstanding of registrant’s common stock at July 17, 2024 was 73,416,581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549275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94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4220" cy="698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 June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tcPr>
          <w:p>
            <w:pPr>
              <w:spacing w:after="0"/>
              <w:rPr>
                <w:sz w:val="13"/>
                <w:szCs w:val="13"/>
                <w:color w:val="auto"/>
              </w:rPr>
            </w:pPr>
          </w:p>
        </w:tc>
        <w:tc>
          <w:tcPr>
            <w:tcW w:w="2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Financial Statements (Unaudited)</w:t>
            </w:r>
          </w:p>
        </w:tc>
        <w:tc>
          <w:tcPr>
            <w:tcW w:w="6280" w:type="dxa"/>
            <w:vAlign w:val="bottom"/>
            <w:gridSpan w:val="8"/>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Condensed Consolidated Statements of Comprehensive Income for the three and six months ended June 30, 2024 and 2023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Condensed Consolidated Balance Sheets at June 30, 2024 and December 31, 2023</w:t>
            </w:r>
          </w:p>
        </w:tc>
        <w:tc>
          <w:tcPr>
            <w:tcW w:w="2320" w:type="dxa"/>
            <w:vAlign w:val="bottom"/>
            <w:gridSpan w:val="4"/>
          </w:tcPr>
          <w:p>
            <w:pPr>
              <w:spacing w:after="0"/>
              <w:rPr>
                <w:sz w:val="13"/>
                <w:szCs w:val="13"/>
                <w:color w:val="auto"/>
              </w:rPr>
            </w:pPr>
          </w:p>
        </w:tc>
        <w:tc>
          <w:tcPr>
            <w:tcW w:w="158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Condensed Consolidated Statements of Shareholders' Equity for the three and six months ended June 30, 2024 and 2023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Condensed Consolidated Statements of Cash Flows for the six months ended June 30, 2024 and 2023</w:t>
            </w:r>
          </w:p>
        </w:tc>
        <w:tc>
          <w:tcPr>
            <w:tcW w:w="1060" w:type="dxa"/>
            <w:vAlign w:val="bottom"/>
          </w:tcPr>
          <w:p>
            <w:pPr>
              <w:spacing w:after="0"/>
              <w:rPr>
                <w:sz w:val="13"/>
                <w:szCs w:val="13"/>
                <w:color w:val="auto"/>
              </w:rPr>
            </w:pPr>
          </w:p>
        </w:tc>
        <w:tc>
          <w:tcPr>
            <w:tcW w:w="1760" w:type="dxa"/>
            <w:vAlign w:val="bottom"/>
            <w:gridSpan w:val="2"/>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tc>
        <w:tc>
          <w:tcPr>
            <w:tcW w:w="2820" w:type="dxa"/>
            <w:vAlign w:val="bottom"/>
            <w:gridSpan w:val="3"/>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tcBorders>
              <w:bottom w:val="single" w:sz="8" w:color="auto"/>
            </w:tcBorders>
          </w:tcPr>
          <w:p>
            <w:pPr>
              <w:spacing w:after="0"/>
              <w:rPr>
                <w:sz w:val="13"/>
                <w:szCs w:val="13"/>
                <w:color w:val="auto"/>
              </w:rPr>
            </w:pPr>
          </w:p>
        </w:tc>
        <w:tc>
          <w:tcPr>
            <w:tcW w:w="34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20" w:type="dxa"/>
            <w:vAlign w:val="bottom"/>
            <w:tcBorders>
              <w:top w:val="single" w:sz="8" w:color="auto"/>
            </w:tcBorders>
            <w:gridSpan w:val="2"/>
          </w:tcPr>
          <w:p>
            <w:pPr>
              <w:spacing w:after="0"/>
              <w:rPr>
                <w:sz w:val="13"/>
                <w:szCs w:val="13"/>
                <w:color w:val="auto"/>
              </w:rPr>
            </w:pPr>
          </w:p>
        </w:tc>
        <w:tc>
          <w:tcPr>
            <w:tcW w:w="3500" w:type="dxa"/>
            <w:vAlign w:val="bottom"/>
            <w:gridSpan w:val="4"/>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36</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7160" w:type="dxa"/>
            <w:vAlign w:val="bottom"/>
            <w:gridSpan w:val="10"/>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36</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4720" w:type="dxa"/>
            <w:vAlign w:val="bottom"/>
            <w:gridSpan w:val="2"/>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gridSpan w:val="2"/>
          </w:tcPr>
          <w:p>
            <w:pPr>
              <w:spacing w:after="0"/>
              <w:rPr>
                <w:sz w:val="13"/>
                <w:szCs w:val="13"/>
                <w:color w:val="auto"/>
              </w:rPr>
            </w:pPr>
          </w:p>
        </w:tc>
        <w:tc>
          <w:tcPr>
            <w:tcW w:w="1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5720" w:type="dxa"/>
            <w:vAlign w:val="bottom"/>
            <w:gridSpan w:val="5"/>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r>
      <w:tr>
        <w:trPr>
          <w:trHeight w:val="160"/>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gridSpan w:val="2"/>
          </w:tcPr>
          <w:p>
            <w:pPr>
              <w:spacing w:after="0"/>
              <w:rPr>
                <w:sz w:val="13"/>
                <w:szCs w:val="13"/>
                <w:color w:val="auto"/>
              </w:rPr>
            </w:pPr>
          </w:p>
        </w:tc>
        <w:tc>
          <w:tcPr>
            <w:tcW w:w="184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580" w:type="dxa"/>
            <w:vAlign w:val="bottom"/>
            <w:tcBorders>
              <w:top w:val="single" w:sz="8" w:color="auto"/>
            </w:tcBorders>
            <w:gridSpan w:val="2"/>
          </w:tcPr>
          <w:p>
            <w:pPr>
              <w:spacing w:after="0"/>
              <w:rPr>
                <w:sz w:val="13"/>
                <w:szCs w:val="13"/>
                <w:color w:val="auto"/>
              </w:rPr>
            </w:pPr>
          </w:p>
        </w:tc>
        <w:tc>
          <w:tcPr>
            <w:tcW w:w="33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gridSpan w:val="2"/>
          </w:tcPr>
          <w:p>
            <w:pPr>
              <w:spacing w:after="0"/>
              <w:rPr>
                <w:sz w:val="13"/>
                <w:szCs w:val="13"/>
                <w:color w:val="auto"/>
              </w:rPr>
            </w:pPr>
          </w:p>
        </w:tc>
        <w:tc>
          <w:tcPr>
            <w:tcW w:w="1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5380" w:type="dxa"/>
            <w:vAlign w:val="bottom"/>
            <w:gridSpan w:val="4"/>
          </w:tcPr>
          <w:p>
            <w:pPr>
              <w:spacing w:after="0"/>
              <w:rPr>
                <w:sz w:val="13"/>
                <w:szCs w:val="13"/>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5.</w:t>
            </w:r>
          </w:p>
        </w:tc>
        <w:tc>
          <w:tcPr>
            <w:tcW w:w="580" w:type="dxa"/>
            <w:vAlign w:val="bottom"/>
            <w:gridSpan w:val="2"/>
          </w:tcPr>
          <w:p>
            <w:pPr>
              <w:spacing w:after="0"/>
              <w:rPr>
                <w:sz w:val="13"/>
                <w:szCs w:val="13"/>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9"/>
              </w:rPr>
              <w:t>Other Information</w:t>
            </w:r>
          </w:p>
        </w:tc>
        <w:tc>
          <w:tcPr>
            <w:tcW w:w="5740" w:type="dxa"/>
            <w:vAlign w:val="bottom"/>
            <w:gridSpan w:val="6"/>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6.</w:t>
            </w:r>
          </w:p>
        </w:tc>
        <w:tc>
          <w:tcPr>
            <w:tcW w:w="580" w:type="dxa"/>
            <w:vAlign w:val="bottom"/>
            <w:gridSpan w:val="2"/>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Exhibits</w:t>
            </w:r>
          </w:p>
        </w:tc>
        <w:tc>
          <w:tcPr>
            <w:tcW w:w="6300" w:type="dxa"/>
            <w:vAlign w:val="bottom"/>
            <w:gridSpan w:val="9"/>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39</w:t>
            </w:r>
          </w:p>
        </w:tc>
      </w:tr>
      <w:tr>
        <w:trPr>
          <w:trHeight w:val="160"/>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Signatures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222250</wp:posOffset>
            </wp:positionV>
            <wp:extent cx="71278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20" w:type="dxa"/>
            <w:vAlign w:val="bottom"/>
            <w:gridSpan w:val="5"/>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7620" w:type="dxa"/>
            <w:vAlign w:val="bottom"/>
            <w:gridSpan w:val="8"/>
          </w:tcPr>
          <w:p>
            <w:pPr>
              <w:jc w:val="center"/>
              <w:ind w:left="230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60" w:type="dxa"/>
            <w:vAlign w:val="bottom"/>
            <w:gridSpan w:val="4"/>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1"/>
                <w:szCs w:val="11"/>
                <w:i w:val="1"/>
                <w:iCs w:val="1"/>
                <w:color w:val="auto"/>
              </w:rPr>
              <w:t>(in millions, except per common share data)</w:t>
            </w:r>
          </w:p>
        </w:tc>
        <w:tc>
          <w:tcPr>
            <w:tcW w:w="14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8"/>
        </w:trPr>
        <w:tc>
          <w:tcPr>
            <w:tcW w:w="3940" w:type="dxa"/>
            <w:vAlign w:val="bottom"/>
            <w:gridSpan w:val="2"/>
          </w:tcPr>
          <w:p>
            <w:pPr>
              <w:ind w:left="160"/>
              <w:spacing w:after="0" w:line="148"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72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709.8</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599.4</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TwinSpires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Gaming</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All Other</w:t>
            </w: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 net revenue</w:t>
            </w: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Operating expense:</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TwinSpires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Gaming</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352.7</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All Other</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Asset impairments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Transaction expense, net</w:t>
            </w: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1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560.7</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542.9</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982.5</w:t>
            </w:r>
          </w:p>
        </w:tc>
        <w:tc>
          <w:tcPr>
            <w:tcW w:w="0" w:type="dxa"/>
            <w:vAlign w:val="bottom"/>
          </w:tcPr>
          <w:p>
            <w:pPr>
              <w:spacing w:after="0"/>
              <w:rPr>
                <w:sz w:val="1"/>
                <w:szCs w:val="1"/>
                <w:color w:val="auto"/>
              </w:rPr>
            </w:pPr>
          </w:p>
        </w:tc>
      </w:tr>
      <w:tr>
        <w:trPr>
          <w:trHeight w:val="16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Interest expense, net</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Gain on sale of Arlington</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Miscellaneous, net</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1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Income from operations before provision for income taxes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408.1</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Income tax provision</w:t>
            </w: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Net income</w:t>
            </w: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0" w:type="dxa"/>
            <w:vAlign w:val="bottom"/>
          </w:tcPr>
          <w:p>
            <w:pPr>
              <w:spacing w:after="0"/>
              <w:rPr>
                <w:sz w:val="1"/>
                <w:szCs w:val="1"/>
                <w:color w:val="auto"/>
              </w:rPr>
            </w:pPr>
          </w:p>
        </w:tc>
      </w:tr>
      <w:tr>
        <w:trPr>
          <w:trHeight w:val="172"/>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9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w:t>
            </w:r>
          </w:p>
        </w:tc>
        <w:tc>
          <w:tcPr>
            <w:tcW w:w="14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0" w:type="dxa"/>
            <w:vAlign w:val="bottom"/>
          </w:tcPr>
          <w:p>
            <w:pPr>
              <w:spacing w:after="0"/>
              <w:rPr>
                <w:sz w:val="1"/>
                <w:szCs w:val="1"/>
                <w:color w:val="auto"/>
              </w:rPr>
            </w:pPr>
          </w:p>
        </w:tc>
      </w:tr>
      <w:tr>
        <w:trPr>
          <w:trHeight w:val="20"/>
        </w:trPr>
        <w:tc>
          <w:tcPr>
            <w:tcW w:w="534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6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 per common share data:</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Basic net income</w:t>
            </w:r>
          </w:p>
        </w:tc>
        <w:tc>
          <w:tcPr>
            <w:tcW w:w="1400" w:type="dxa"/>
            <w:vAlign w:val="bottom"/>
          </w:tcPr>
          <w:p>
            <w:pPr>
              <w:spacing w:after="0"/>
              <w:rPr>
                <w:sz w:val="15"/>
                <w:szCs w:val="15"/>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Diluted net income</w:t>
            </w:r>
          </w:p>
        </w:tc>
        <w:tc>
          <w:tcPr>
            <w:tcW w:w="172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6"/>
              </w:rPr>
              <w:t>Basic</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0" w:type="dxa"/>
            <w:vAlign w:val="bottom"/>
          </w:tcPr>
          <w:p>
            <w:pPr>
              <w:spacing w:after="0"/>
              <w:rPr>
                <w:sz w:val="1"/>
                <w:szCs w:val="1"/>
                <w:color w:val="auto"/>
              </w:rPr>
            </w:pPr>
          </w:p>
        </w:tc>
      </w:tr>
      <w:tr>
        <w:trPr>
          <w:trHeight w:val="170"/>
        </w:trPr>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Diluted</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109220</wp:posOffset>
            </wp:positionV>
            <wp:extent cx="71278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02" w:right="4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7"/>
        </w:trPr>
        <w:tc>
          <w:tcPr>
            <w:tcW w:w="7260" w:type="dxa"/>
            <w:vAlign w:val="bottom"/>
          </w:tcPr>
          <w:p>
            <w:pPr>
              <w:ind w:left="336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and advances to unconsolidated affiliates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2,418.4</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deferred revenue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67"/>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maturities and loan origination fees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net of debt issuance costs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Non-current deferred revenue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Churchill Downs Incorporated shareholders' equity</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0" w:type="dxa"/>
            <w:vAlign w:val="bottom"/>
          </w:tcPr>
          <w:p>
            <w:pPr>
              <w:spacing w:after="0"/>
              <w:rPr>
                <w:sz w:val="1"/>
                <w:szCs w:val="1"/>
                <w:color w:val="auto"/>
              </w:rPr>
            </w:pPr>
          </w:p>
        </w:tc>
      </w:tr>
      <w:tr>
        <w:trPr>
          <w:trHeight w:val="184"/>
        </w:trPr>
        <w:tc>
          <w:tcPr>
            <w:tcW w:w="72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71278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5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5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3"/>
                <w:szCs w:val="13"/>
                <w:color w:val="auto"/>
              </w:rPr>
            </w:pP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tcPr>
          <w:p>
            <w:pPr>
              <w:spacing w:after="0"/>
              <w:rPr>
                <w:sz w:val="13"/>
                <w:szCs w:val="13"/>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893.6</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3"/>
                <w:szCs w:val="13"/>
                <w:color w:val="auto"/>
              </w:rPr>
            </w:pP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827.8</w:t>
            </w:r>
          </w:p>
        </w:tc>
        <w:tc>
          <w:tcPr>
            <w:tcW w:w="10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1,031.9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17"/>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551.5</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3"/>
                <w:szCs w:val="13"/>
                <w:color w:val="auto"/>
              </w:rPr>
            </w:pP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846.7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277495</wp:posOffset>
            </wp:positionV>
            <wp:extent cx="71278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93980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887"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0" w:type="dxa"/>
            <w:vAlign w:val="bottom"/>
            <w:tcBorders>
              <w:bottom w:val="single" w:sz="8" w:color="auto"/>
            </w:tcBorders>
          </w:tcPr>
          <w:p>
            <w:pPr>
              <w:spacing w:after="0"/>
              <w:rPr>
                <w:sz w:val="15"/>
                <w:szCs w:val="15"/>
                <w:color w:val="auto"/>
              </w:rPr>
            </w:pP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120" w:type="dxa"/>
            <w:vAlign w:val="bottom"/>
          </w:tcPr>
          <w:p>
            <w:pPr>
              <w:spacing w:after="0"/>
              <w:rPr>
                <w:sz w:val="15"/>
                <w:szCs w:val="15"/>
                <w:color w:val="auto"/>
              </w:rPr>
            </w:pPr>
          </w:p>
        </w:tc>
        <w:tc>
          <w:tcPr>
            <w:tcW w:w="78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 impairments</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Arlington</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84"/>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402.6</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maintenance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project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(282.2)</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Arlington</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1,223.3</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(1,201.4)</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dividends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issuance costs</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bank overdraft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discontinued operations: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activities of discontinued operations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236.4</w:t>
            </w: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204.7</w:t>
            </w:r>
          </w:p>
        </w:tc>
      </w:tr>
      <w:tr>
        <w:trPr>
          <w:trHeight w:val="17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441.1</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180" w:type="dxa"/>
            <w:vAlign w:val="bottom"/>
            <w:tcBorders>
              <w:bottom w:val="single" w:sz="8" w:color="auto"/>
            </w:tcBorders>
          </w:tcPr>
          <w:p>
            <w:pPr>
              <w:spacing w:after="0"/>
              <w:rPr>
                <w:sz w:val="16"/>
                <w:szCs w:val="16"/>
                <w:color w:val="auto"/>
              </w:rPr>
            </w:pPr>
          </w:p>
        </w:tc>
      </w:tr>
      <w:tr>
        <w:trPr>
          <w:trHeight w:val="175"/>
        </w:trPr>
        <w:tc>
          <w:tcPr>
            <w:tcW w:w="7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22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80" w:type="dxa"/>
            <w:vAlign w:val="bottom"/>
          </w:tcPr>
          <w:p>
            <w:pPr>
              <w:spacing w:after="0"/>
              <w:rPr>
                <w:sz w:val="15"/>
                <w:szCs w:val="15"/>
                <w:color w:val="auto"/>
              </w:rPr>
            </w:pP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78"/>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from income tax refunds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2"/>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Schedule of non-cash operating, investing and financing activities:</w:t>
            </w: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additions included in accounts payable and accrued expenses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5"/>
                <w:szCs w:val="15"/>
                <w:color w:val="auto"/>
              </w:rPr>
            </w:pP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operating leases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finance leases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4"/>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 included in accrued expense and other current liabilities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2023 Condensed Consolidated Balance Sheet data was derived from audited financial statements but does not include all disclosures required by GAAP.</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information is unaudited. All per share amounts assume dilution unless otherwise noted. This report should be read in conjunction with our Annual Report on Form 10-K for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opinion of management, all adjustments necessary for a fair statement of this information have been made, and all such adjustments are of a normal, recurring nature.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April 2024, the Company closed on the sale of 49% of the United Tote Company (“United Tote”), a wholly-owned subsidiary of CDI, to NYRA Content Management Solutions, LLC ("NYRA"), a subsidiary of the New York Racing Association, Inc. Refer to Note 11, Redeemable Noncontrolling Interest, for further information on the transaction.</w:t>
      </w:r>
    </w:p>
    <w:p>
      <w:pPr>
        <w:spacing w:after="0" w:line="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TwinSpires, and Gaming. We aggregate our other businesses as well as certain corporate operations in All Other. We report net revenue and operating expense associated with these reportable segments in the accompanying Condensed Consolidated Statements of Comprehensive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effective in 2024 or thereafter</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which enhances the disclosures required for operating segments in the Company’s annual and interim consolidated financial statements. The amendments are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impact of this standard on the consolidated financial statements and related disclosures.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are expected to be applied prospectively to all annual periods beginning after December 15, 2024. The Company is currently evaluating the impact of this standard on the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247015</wp:posOffset>
            </wp:positionV>
            <wp:extent cx="71278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Exacta Systems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22, 2023, the Company completed its acquisition of Exacta Systems, LLC ("Exacta") for a purchase consideration of $248.2 million, net of cash acquired, which consisted of a $241.3 million cash payment and $6.9 million of deferred payments, which are payable over two years from acquisition (the "Exacta Transaction"). As of June 30, 2024, there were $4.9 million deferred payments remaining. Exacta is a leading provider of central determinate system technology in Historical Racing Machines ("HRMs") across the country. The Exacta Transaction enables the Company to realize significant synergies related to the Company’s HRM operations. Exacta operates within the Company’s TwinSpires segment and will continue to service its growing portfolio of third-party HRM operators in Kentucky, Wyoming, and New Hampshire and plans to expand its international presence.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of $177.4 million related to the Exacta Transaction was recognized, of which $96.0 million was allocated to the Live and Historical Racing segment and $81.4 million was allocated to the TwinSpires segment. The goodwill related to the Exacta Transaction is deductible for tax purposes.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GOODWILL AND OTHER INTANGIBLE ASSETS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Goodwill, by segment, is composed of the following:</w:t>
            </w: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w:t>
            </w:r>
          </w:p>
        </w:tc>
        <w:tc>
          <w:tcPr>
            <w:tcW w:w="20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December 31, 2023</w:t>
            </w: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1040" w:type="dxa"/>
            <w:vAlign w:val="bottom"/>
            <w:tcBorders>
              <w:top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899.9</w:t>
            </w:r>
          </w:p>
        </w:tc>
      </w:tr>
      <w:tr>
        <w:trPr>
          <w:trHeight w:val="184"/>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June 30, 2024</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900.2</w:t>
            </w:r>
          </w:p>
        </w:tc>
      </w:tr>
      <w:tr>
        <w:trPr>
          <w:trHeight w:val="20"/>
        </w:trPr>
        <w:tc>
          <w:tcPr>
            <w:tcW w:w="4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goodwill impairment analysis as of April 1, 2024,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intangible assets are comprised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9"/>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3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0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6"/>
        </w:trPr>
        <w:tc>
          <w:tcPr>
            <w:tcW w:w="29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r>
      <w:tr>
        <w:trPr>
          <w:trHeight w:val="171"/>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second quarter of 2023, the Company recognized a $24.5 million non-cash impairment charge for the Presque Isle Downs and Casino ("Presque Isle") gaming rights and trademark. The Company continues to monitor the current economic conditions and the impacts on the results of operations of Presque Isle. Future economic conditions could have a negative impact on the estimates and assumptions utilized in our asset impairment assessments. These potential impacts could increase the risk of a future impairment of assets at Presque Isle.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indefinite-lived intangible assets impairment analysis as of April 1, 2024.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effective income tax rate for the three months ended June 30, 2024 was higher than the U.S. federal statutory rate of 21.0% primarily resulting from state income taxes and non-deductible officer's compensation. The Company's effective income tax rate for the six months ended June 30, 2024 was higher than the U.S. federal statutory rate of 21.0% primarily resulting from state income taxes and non-deductible officer's compensation, partially offset by a benefit from the remeasurement of deferred income tax liabilities, primarily related to certain entity classification elections made in the first quarter of 2024 that decreased income attributable to states with higher tax rates compared to the prior year.</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effective income tax rate for the three months and six months ended June 30, 2023 was higher than the U.S. federal statutory rate of 21.0% primarily resulting from state income taxes and non-deductible officer’s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The 2021 Stock Repurchase Program includes and is not in addition to any unspent amount remaining under the prior program authorization. Repurchases may be made at management’s discretion from time to time on the open market (either with or without a 10b5-1 plan) or through privately negotiated transactions. The repurchase program has no time limit and may be suspended or discontinued at any time.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the following shares under the 2021 Stock Repurchase Program: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millions, except share data)</w:t>
            </w: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9"/>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100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02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1"/>
        </w:trPr>
        <w:tc>
          <w:tcPr>
            <w:tcW w:w="30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80" w:type="dxa"/>
            <w:vAlign w:val="bottom"/>
            <w:vMerge w:val="continue"/>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60" w:type="dxa"/>
            <w:vAlign w:val="bottom"/>
            <w:vMerge w:val="continue"/>
          </w:tcPr>
          <w:p>
            <w:pPr>
              <w:spacing w:after="0"/>
              <w:rPr>
                <w:sz w:val="16"/>
                <w:szCs w:val="16"/>
                <w:color w:val="auto"/>
              </w:rPr>
            </w:pPr>
          </w:p>
        </w:tc>
        <w:tc>
          <w:tcPr>
            <w:tcW w:w="10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5"/>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 Stock Repurchase Program</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93,874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278,695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9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had approximately $179.9 million of repurchase authority remaining under the 2021 Stock Repurchase Program at June 30, 2024, based on trade date.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Two for One Stock Split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May 22, 2023, the Company's common stock was split two-for-one with a proportionate increase in the number of its authorized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STOCK-BASED COMPENSATION PLANS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stock-based employee compensation plans with awards outstanding under the Churchill Downs Incorporated 2016 Omnibus Stock Incentive Plan (the "2016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plan was $8.9 million and $16.1 million for the three months and six months ended June 30, 2024 and $8.1 million and $16.7 million for the three months and six months ended June 30, 2023, respectively.</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2024, the Company awarded RSUs to employees, RSUs and PSUs to certain named executive officers ("NEOs"), and RSAs and RSUs to directors. The vesting criteria for the PSU awards granted in 2024 were based on a three-year service period with two performance conditions and a market condition related to relative total shareholder return ("TSR") consistent with prior year grants. The total compensation cost we will recognize under the PSUs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are converted into shares of our common stock at the time the PSU award value is finalized.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RSAs, RSUs and PSUs granted during 2024 is presented below (units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Type</w:t>
            </w:r>
          </w:p>
        </w:tc>
        <w:tc>
          <w:tcPr>
            <w:tcW w:w="80" w:type="dxa"/>
            <w:vAlign w:val="bottom"/>
          </w:tcPr>
          <w:p>
            <w:pPr>
              <w:spacing w:after="0"/>
              <w:rPr>
                <w:sz w:val="17"/>
                <w:szCs w:val="17"/>
                <w:color w:val="auto"/>
              </w:rPr>
            </w:pPr>
          </w:p>
        </w:tc>
        <w:tc>
          <w:tcPr>
            <w:tcW w:w="1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Units Awarded</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61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Vesting Terms</w:t>
            </w:r>
          </w:p>
        </w:tc>
      </w:tr>
      <w:tr>
        <w:trPr>
          <w:trHeight w:val="199"/>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8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 equally over three service periods ending in 2026</w:t>
            </w:r>
          </w:p>
        </w:tc>
      </w:tr>
      <w:tr>
        <w:trPr>
          <w:trHeight w:val="18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8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Three-year performance and service period ending in 2026</w:t>
            </w:r>
          </w:p>
        </w:tc>
      </w:tr>
      <w:tr>
        <w:trPr>
          <w:trHeight w:val="184"/>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One-year service period ending in 2025</w:t>
            </w:r>
          </w:p>
        </w:tc>
      </w:tr>
    </w:tbl>
    <w:p>
      <w:pPr>
        <w:spacing w:after="0" w:line="133" w:lineRule="exact"/>
        <w:rPr>
          <w:sz w:val="20"/>
          <w:szCs w:val="20"/>
          <w:color w:val="auto"/>
        </w:rPr>
      </w:pPr>
    </w:p>
    <w:p>
      <w:pPr>
        <w:ind w:left="140" w:hanging="135"/>
        <w:spacing w:after="0"/>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PSUs reflect the target number of units for the original PSU grant.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DEBT</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total debt outstanding:</w:t>
            </w: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2"/>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7"/>
                <w:szCs w:val="17"/>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2030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2031 Senior Notes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r>
      <w:tr>
        <w:trPr>
          <w:trHeight w:val="180"/>
        </w:trPr>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4"/>
        </w:trPr>
        <w:tc>
          <w:tcPr>
            <w:tcW w:w="7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Unamortized premium and deferred finance charges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 and costs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4,791.3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June 30, 2024, the Company’s senior secured credit facility (as amended from time to time, the “Credit Agreement") consisted of a $1.2 billion revolving credit facility (the "Revolver"), $290.2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June 30, 2024, that applicable margin was 150 basis points which was based on the pricing grid in the Credit Agreement. The Company had $893.5 million available borrowing capacity, after consideration of $6.0 million in outstanding letters of credit, under the Revolver as of June 30,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June 30, 2024, the Company's commitment fee rate was 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295275</wp:posOffset>
            </wp:positionV>
            <wp:extent cx="71278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30,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Notes at any time prior to April 25, 2025, at redemption prices set forth in the 2031 Offering Memorandum.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REVENUE FROM CONTRACTS WITH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our Live and Historical Racing segment had remaining performance obligations on contracts with a duration greater than one year relating to television rights, sponsorships, personal seat licenses, and admissions, with an aggregate transaction price of $252.3 million. The revenue we expect to recognize on these remaining performance obligations is $1.6 million for the remainder of 2024, $51.9 million in 2025, $52.7 million in 2026, and the remainder thereafter.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our remaining performance obligations on contracts with a duration greater than one year in segments other than Live and Historical Racing were not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Contract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and December 31, 2023, contract assets were not material.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June 30, 2024 and December 31, 2023, contract liabilities were $46.6 million and $92.3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recognized deferred revenue related to the 150th Kentucky Derby. We recognized $67.2 million and $73.0 million of revenue during the three months and six months ended June 30, 2024, respectively, which was included in the contract liabilities balance at December 31, 2023. We recognized $38.8 million and $42.4 million of revenue during the three months and six months ended June 30, 2023, respectively, which was included in the contract liabilities balance at December 31,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included its disaggregated revenue disclosures as follows:</w:t>
      </w:r>
    </w:p>
    <w:p>
      <w:pPr>
        <w:spacing w:after="0" w:line="94" w:lineRule="exact"/>
        <w:rPr>
          <w:sz w:val="20"/>
          <w:szCs w:val="20"/>
          <w:color w:val="auto"/>
        </w:rPr>
      </w:pPr>
    </w:p>
    <w:p>
      <w:pPr>
        <w:ind w:left="540" w:hanging="249"/>
        <w:spacing w:after="0" w:line="287" w:lineRule="auto"/>
        <w:tabs>
          <w:tab w:leader="none" w:pos="5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ind w:left="540"/>
        <w:spacing w:after="0" w:line="287" w:lineRule="auto"/>
        <w:rPr>
          <w:sz w:val="20"/>
          <w:szCs w:val="20"/>
          <w:color w:val="auto"/>
        </w:rPr>
      </w:pPr>
      <w:r>
        <w:rPr>
          <w:rFonts w:ascii="Times New Roman" w:cs="Times New Roman" w:eastAsia="Times New Roman" w:hAnsi="Times New Roman"/>
          <w:sz w:val="14"/>
          <w:szCs w:val="14"/>
          <w:color w:val="auto"/>
        </w:rPr>
        <w:t>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spacing w:after="0" w:line="39" w:lineRule="exact"/>
        <w:rPr>
          <w:sz w:val="20"/>
          <w:szCs w:val="20"/>
          <w:color w:val="auto"/>
        </w:rPr>
      </w:pPr>
    </w:p>
    <w:p>
      <w:pPr>
        <w:ind w:left="480" w:hanging="189"/>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TwinSpires segment, revenue is disaggregated between live and simulcast racing, gaming, and other services.</w:t>
      </w:r>
    </w:p>
    <w:p>
      <w:pPr>
        <w:spacing w:after="0" w:line="93" w:lineRule="exact"/>
        <w:rPr>
          <w:rFonts w:ascii="Times New Roman" w:cs="Times New Roman" w:eastAsia="Times New Roman" w:hAnsi="Times New Roman"/>
          <w:sz w:val="14"/>
          <w:szCs w:val="14"/>
          <w:color w:val="auto"/>
        </w:rPr>
      </w:pPr>
    </w:p>
    <w:p>
      <w:pPr>
        <w:ind w:left="540" w:hanging="249"/>
        <w:spacing w:after="0" w:line="287" w:lineRule="auto"/>
        <w:tabs>
          <w:tab w:leader="none" w:pos="53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5"/>
        </w:trPr>
        <w:tc>
          <w:tcPr>
            <w:tcW w:w="46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Churchill Downs Racetrack</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Louisville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Northern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Southwestern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Western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Hampshire</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5"/>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Live and Historical Racing</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24"/>
                <w:szCs w:val="2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Florida</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Iowa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Indiana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Louisiana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Maine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Maryland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Mississippi</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Pennsylvania</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67"/>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Gaming</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revenue from external customers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Intercompany net revenues: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TwinSpires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Gaming</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Eliminations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Intercompany net revenue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302895</wp:posOffset>
            </wp:positionV>
            <wp:extent cx="71278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380" w:hanging="375"/>
        <w:spacing w:after="0" w:line="270" w:lineRule="auto"/>
        <w:tabs>
          <w:tab w:leader="none" w:pos="34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$14.2 million for the three months ended June 30, 2024 and $12.3 million 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12700</wp:posOffset>
            </wp:positionV>
            <wp:extent cx="71481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511810</wp:posOffset>
            </wp:positionV>
            <wp:extent cx="712787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100965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71481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6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6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TwinSpires</w:t>
            </w:r>
          </w:p>
        </w:tc>
        <w:tc>
          <w:tcPr>
            <w:tcW w:w="16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millions)</w:t>
            </w:r>
          </w:p>
        </w:tc>
        <w:tc>
          <w:tcPr>
            <w:tcW w:w="22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 revenue from external customers</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ri-mutuel:</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ive and simulcast racing</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0" w:type="dxa"/>
            <w:vAlign w:val="bottom"/>
          </w:tcPr>
          <w:p>
            <w:pPr>
              <w:spacing w:after="0"/>
              <w:rPr>
                <w:sz w:val="1"/>
                <w:szCs w:val="1"/>
                <w:color w:val="auto"/>
              </w:rPr>
            </w:pPr>
          </w:p>
        </w:tc>
      </w:tr>
      <w:tr>
        <w:trPr>
          <w:trHeight w:val="183"/>
        </w:trPr>
        <w:tc>
          <w:tcPr>
            <w:tcW w:w="3500" w:type="dxa"/>
            <w:vAlign w:val="bottom"/>
          </w:tcPr>
          <w:p>
            <w:pPr>
              <w:ind w:left="40"/>
              <w:spacing w:after="0" w:line="183" w:lineRule="exact"/>
              <w:rPr>
                <w:sz w:val="20"/>
                <w:szCs w:val="20"/>
                <w:color w:val="auto"/>
              </w:rPr>
            </w:pPr>
            <w:r>
              <w:rPr>
                <w:rFonts w:ascii="Times New Roman" w:cs="Times New Roman" w:eastAsia="Times New Roman" w:hAnsi="Times New Roman"/>
                <w:sz w:val="14"/>
                <w:szCs w:val="14"/>
                <w:color w:val="auto"/>
              </w:rPr>
              <w:t>istorical racing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cing event-related services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180"/>
        </w:trPr>
        <w:tc>
          <w:tcPr>
            <w:tcW w:w="35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ming</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187"/>
        </w:trPr>
        <w:tc>
          <w:tcPr>
            <w:tcW w:w="350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her</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otal</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460" w:hanging="375"/>
        <w:spacing w:after="0" w:line="270" w:lineRule="auto"/>
        <w:tabs>
          <w:tab w:leader="none" w:pos="42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$27.6 million for the six months ended June 30, 2024 and $24.5 million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277495</wp:posOffset>
            </wp:positionV>
            <wp:extent cx="71278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93980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220" w:top="15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SUPPLEMENTAL BALANCE SHEET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is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4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Simulcast and online wagering receivables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67"/>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7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7"/>
                <w:szCs w:val="17"/>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 wagering deposits liability</w:t>
            </w:r>
          </w:p>
        </w:tc>
        <w:tc>
          <w:tcPr>
            <w:tcW w:w="2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salaries and related benefits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Purses payable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fixed assets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gaming liabilities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8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7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REDEEMABLE NONCONTROLLING INTEREST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2024, the Company closed on the sale of 49% of United Tote, a wholly-owned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2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 initial measurement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4"/>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Redemption value adjustment</w:t>
            </w: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
        </w:trPr>
        <w:tc>
          <w:tcPr>
            <w:tcW w:w="9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INVESTMENTS IN AND ADVANCES TO UNCONSOLIDATED AFFILIATES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Investments in and advances to unconsolidated affiliates as of June 30, 2024 and December 31, 2023 primarily consisted of interests in Rivers Casino Des Plaines ("Rivers Des Plaines") and Miami Valley Gaming and Racing ("MVG").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Rivers Casino Des Plaines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As of June 30, 2024, the net aggregate basis difference between the Company’s investment in Rivers Des Plaines and the amounts of the underlying equity in net assets was $832.8 million.</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Rivers Des Plaines was $535.1 million and $541.2 million as of June 30, 2024 and December 31, 2023, respectively. The Company received distributions from Rivers Des Plaines of $58.7 million and $68.2 million for the six months ended June 30, 2024 and 2023,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Miami Valley Gaming and Racing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MVG was $113.7 million and $114.6 million as of June 30, 2024 and December 31, 2023, respectively. The Company received distributions from MVG of $23.0 million and $23.5 million for the six months ended June 30, 2024 and 2023,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Results for our Unconsolidated Affiliates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below are the financial results for our unconsolidated affiliates.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15"/>
                <w:szCs w:val="15"/>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4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Operating and SG&amp;A expense</w:t>
            </w:r>
          </w:p>
        </w:tc>
        <w:tc>
          <w:tcPr>
            <w:tcW w:w="1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167"/>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net</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62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7"/>
        </w:trPr>
        <w:tc>
          <w:tcPr>
            <w:tcW w:w="35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Deficit</w:t>
            </w: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5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Members' deficit</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members' deficit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FAIR VALUE OF ASSETS AND LIABILITIES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restricted cash accounts held in money market and interest-bearing accounts qualify for Level 1 in the fair value hierarchy, which includes unadjusted quoted market prices in active markets for identical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amounts and estimated fair values by input level of the Company's financial instruments are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NET INCOME PER COMMON SHARE COMPUTATIONS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net income per common share computations: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 share data)</w:t>
            </w: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5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Numerator for basic and diluted net income per common share:</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84"/>
        </w:trPr>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related to redeemable noncontrolling interest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Denominator for net income per common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84"/>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Plus dilutive effect of stock awards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per common share data:</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 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84"/>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 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SEGMENT INFORMATION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operations through three reportable segments: Live and Historical Racing, TwinSpires, and Gaming. Our operating segments reflect the internal management reporting used by our chief operating decision maker to evaluate results of operations and to assess performance and allocate resources.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September 7, 2023, the Company began operating retail sports betting at its racetracks and HRM facilities in Kentucky. In addition to retail sports betting, third-party service providers began operating online sports wagering in partnership with the Company’s racetracks on September 28, 2023. Our retail and online sports betting business is included in the TwinSpires segment.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94" w:lineRule="exact"/>
        <w:rPr>
          <w:sz w:val="20"/>
          <w:szCs w:val="20"/>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our property in Arlington Heights, Illinois ("Arlington") ceased racing and simulcast operations and the property was sold on February 15, 2023 to the Chicago Bears.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Arlington's results and exit costs in 2023 are treated as an adjustment to EBITDA and are included in other expenses, net in the Reconciliation of Comprehensive Income to Adjusted EBITDA</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net revenue from external customers, Adjusted EBITDA by segment and reconciles comprehensive income to Adjusted EBITDA: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revenue by segment is comprised of the following:</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7"/>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4"/>
                <w:szCs w:val="24"/>
                <w:color w:val="auto"/>
              </w:rPr>
            </w:pPr>
          </w:p>
        </w:tc>
        <w:tc>
          <w:tcPr>
            <w:tcW w:w="296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TwinSpires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w:t>
            </w:r>
          </w:p>
        </w:tc>
      </w:tr>
      <w:tr>
        <w:trPr>
          <w:trHeight w:val="184"/>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1,328.0</w:t>
            </w:r>
          </w:p>
        </w:tc>
      </w:tr>
      <w:tr>
        <w:trPr>
          <w:trHeight w:val="20"/>
        </w:trPr>
        <w:tc>
          <w:tcPr>
            <w:tcW w:w="4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1340485</wp:posOffset>
            </wp:positionV>
            <wp:extent cx="71278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58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0" w:type="dxa"/>
            <w:vAlign w:val="bottom"/>
            <w:tcBorders>
              <w:bottom w:val="single" w:sz="8" w:color="auto"/>
            </w:tcBorders>
          </w:tcPr>
          <w:p>
            <w:pPr>
              <w:spacing w:after="0"/>
              <w:rPr>
                <w:sz w:val="17"/>
                <w:szCs w:val="17"/>
                <w:color w:val="auto"/>
              </w:rPr>
            </w:pP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36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w:t>
            </w: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other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20"/>
        </w:trPr>
        <w:tc>
          <w:tcPr>
            <w:tcW w:w="5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40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36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247.9</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4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478155</wp:posOffset>
            </wp:positionV>
            <wp:extent cx="71278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34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517.6</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TwinSpires</w:t>
            </w:r>
          </w:p>
        </w:tc>
        <w:tc>
          <w:tcPr>
            <w:tcW w:w="34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623.8</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w:t>
            </w: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302895</wp:posOffset>
            </wp:positionV>
            <wp:extent cx="71278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93980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55" w:right="319" w:bottom="1440" w:gutter="0" w:footer="0" w:header="0"/>
        </w:sectPr>
      </w:pPr>
    </w:p>
    <w:bookmarkStart w:id="23" w:name="page24"/>
    <w:bookmarkEnd w:id="23"/>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80" w:type="dxa"/>
            <w:vAlign w:val="bottom"/>
          </w:tcPr>
          <w:p>
            <w:pPr>
              <w:spacing w:after="0"/>
              <w:rPr>
                <w:sz w:val="14"/>
                <w:szCs w:val="14"/>
                <w:color w:val="auto"/>
              </w:rPr>
            </w:pPr>
          </w:p>
        </w:tc>
        <w:tc>
          <w:tcPr>
            <w:tcW w:w="3000" w:type="dxa"/>
            <w:vAlign w:val="bottom"/>
            <w:gridSpan w:val="4"/>
          </w:tcPr>
          <w:p>
            <w:pPr>
              <w:jc w:val="right"/>
              <w:ind w:right="869"/>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84"/>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4"/>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Adjustments to EBITDA:</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Pre-opening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Arlington exit costs</w:t>
            </w: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expenses,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 impairments</w:t>
            </w: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expense,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 equity</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0"/>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Rivers Des Plaines' legal reserves and transaction costs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4"/>
        </w:trPr>
        <w:tc>
          <w:tcPr>
            <w:tcW w:w="4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Gain on sale of Arlington</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1"/>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adjustments to EBITDA</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by segment: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0" w:type="dxa"/>
            <w:vAlign w:val="bottom"/>
          </w:tcPr>
          <w:p>
            <w:pPr>
              <w:spacing w:after="0"/>
              <w:rPr>
                <w:sz w:val="1"/>
                <w:szCs w:val="1"/>
                <w:color w:val="auto"/>
              </w:rPr>
            </w:pPr>
          </w:p>
        </w:tc>
      </w:tr>
      <w:tr>
        <w:trPr>
          <w:trHeight w:val="167"/>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71"/>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532130</wp:posOffset>
            </wp:positionV>
            <wp:extent cx="71278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The table below presents total asset information for each of our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38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0" w:type="dxa"/>
            <w:vAlign w:val="bottom"/>
          </w:tcPr>
          <w:p>
            <w:pPr>
              <w:spacing w:after="0"/>
              <w:rPr>
                <w:sz w:val="1"/>
                <w:szCs w:val="1"/>
                <w:color w:val="auto"/>
              </w:rPr>
            </w:pPr>
          </w:p>
        </w:tc>
      </w:tr>
      <w:tr>
        <w:trPr>
          <w:trHeight w:val="18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TwinSpires</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84"/>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1,920.9</w:t>
            </w:r>
          </w:p>
        </w:tc>
        <w:tc>
          <w:tcPr>
            <w:tcW w:w="0" w:type="dxa"/>
            <w:vAlign w:val="bottom"/>
          </w:tcPr>
          <w:p>
            <w:pPr>
              <w:spacing w:after="0"/>
              <w:rPr>
                <w:sz w:val="1"/>
                <w:szCs w:val="1"/>
                <w:color w:val="auto"/>
              </w:rPr>
            </w:pPr>
          </w:p>
        </w:tc>
      </w:tr>
      <w:tr>
        <w:trPr>
          <w:trHeight w:val="167"/>
        </w:trPr>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segment assets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6,267.7</w:t>
            </w:r>
          </w:p>
        </w:tc>
        <w:tc>
          <w:tcPr>
            <w:tcW w:w="0" w:type="dxa"/>
            <w:vAlign w:val="bottom"/>
          </w:tcPr>
          <w:p>
            <w:pPr>
              <w:spacing w:after="0"/>
              <w:rPr>
                <w:sz w:val="1"/>
                <w:szCs w:val="1"/>
                <w:color w:val="auto"/>
              </w:rPr>
            </w:pPr>
          </w:p>
        </w:tc>
      </w:tr>
      <w:tr>
        <w:trPr>
          <w:trHeight w:val="184"/>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71"/>
        </w:trPr>
        <w:tc>
          <w:tcPr>
            <w:tcW w:w="75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table below presents total capital expenditures for each of our segments:</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09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80" w:type="dxa"/>
            <w:vAlign w:val="bottom"/>
          </w:tcPr>
          <w:p>
            <w:pPr>
              <w:spacing w:after="0"/>
              <w:rPr>
                <w:sz w:val="14"/>
                <w:szCs w:val="14"/>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4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3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0" w:type="dxa"/>
            <w:vAlign w:val="bottom"/>
          </w:tcPr>
          <w:p>
            <w:pPr>
              <w:spacing w:after="0"/>
              <w:rPr>
                <w:sz w:val="1"/>
                <w:szCs w:val="1"/>
                <w:color w:val="auto"/>
              </w:rPr>
            </w:pPr>
          </w:p>
        </w:tc>
      </w:tr>
      <w:tr>
        <w:trPr>
          <w:trHeight w:val="18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TwinSpires</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4"/>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67"/>
        </w:trPr>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capital expenditures</w:t>
            </w: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84"/>
        </w:trPr>
        <w:tc>
          <w:tcPr>
            <w:tcW w:w="7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SUBSEQUENT EVENTS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July 3, 2024, the Company closed an amendment of the Credit Agreement to (i) extend the maturity date of the Revolver and Term Loan A from 2027 to 2029 and (ii) amend certain other provisions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276860</wp:posOffset>
            </wp:positionV>
            <wp:extent cx="71278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39"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extraordinary events, such as terrorist attacks, public health threats, civil unrest, and inclement weather, including as a result of climate change;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economic conditions on our consumers' confidence and discretionary spending or our access to credit, including the impact of inflation;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increased taxes and fees;</w:t>
      </w:r>
    </w:p>
    <w:p>
      <w:pPr>
        <w:spacing w:after="0" w:line="93"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pandemics, epidemics, or outbreaks of infectious diseases, including possible new variants of COVID-19, and related economic matters on our results of operations, financial conditions, and prospects;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confidence in the integrity of our core businesses or any deterioration in our reputation;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or highly skilled personnel, as well as general disruptions in the general labor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competition, and the expectation that competition levels will increase;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attendance, wagering, and sponsorships;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equity investments, strategic alliances, and other third-party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respond to rapid technological changes in a timely manner;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and evolution of slot machine and historical racing machine ("HRM") manufacturing and other technology conditions that could impose additional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enter into or maintain agreements with industry constituents, including horsemen and other racetracks;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focus on market access and retail operations for our TwinSpires sports betting business and effectively compete;</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our technology services and catastrophic events and system failures disrupting our operations;</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complete, or fully realize the benefits of, our proposed acquisitions, divestitures, development of new venues or the expansion of existing facilities on time, on budget, or as planned;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integrating recent or future acquisitions into our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overruns and other uncertainties associated with the development of new venues and the expansion of existing facilities;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risks related to real estate ownership and significant expenditures, including risks related to environmental liabilities;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injury litigation related to injuries occurring at our racetracks;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6" w:name="page27"/>
    <w:bookmarkEnd w:id="26"/>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Foreign Corrupt Practices Act or other similar laws and regulations, or applicable anti-money laundering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payment-related risks, such as risk associated with fraudulent credit card or debit card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and labor problems;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pending or future legal proceedings and other 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regulated operations and changes in the regulatory environment could adversely affect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in our debt facilities limiting our flexibility to operate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ratios and other covenants in our debt facilities and other indebtedness;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to interest rates (due to inflation or otherwise);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credit markets or changes to our credit ratings may adversely affect our business;</w:t>
      </w:r>
    </w:p>
    <w:p>
      <w:pPr>
        <w:spacing w:after="0" w:line="93"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our insurance costs, or inability to obtain similar insurance coverage in the future, and any inability to recover under our insurance policies for damages sustained at our properties in the event of inclement weather and casualty events;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under the heading “Risk Factors” in our most recent Annual Report on Form 10-K and in other filings we make with the Securities and Exchange Commission.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undertake any obligation to update or revise any forward-looking statements, whether as a result of new information, future events or otherwise, except as required by law.</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2023,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365125</wp:posOffset>
            </wp:positionV>
            <wp:extent cx="71278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TwinSpires, and Gaming. We aggregate our other businesses as well as certain corporate operations in All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Indicators to Evaluate Business Results and Financial Condition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defined as earnings before interest, taxes, depreciation and amortization, adjusted for the following: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w:t>
      </w:r>
    </w:p>
    <w:p>
      <w:pPr>
        <w:spacing w:after="0" w:line="94" w:lineRule="exact"/>
        <w:rPr>
          <w:sz w:val="20"/>
          <w:szCs w:val="20"/>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our property in Arlington Heights, Illinois ("Arlington") ceased racing and simulcast operations and the property was sold on February 15, 2023 to the Chicago Bears.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Arlington's results and exit costs in 2023 are treated as an adjustment to EBITDA and are included in other expenses, net in the Reconciliation of Comprehensive Income to Adjusted EBITDA</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243205</wp:posOffset>
            </wp:positionV>
            <wp:extent cx="71278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Governmental Regulations and Legislative Changes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various federal, state, and international laws and regulations that affect our businesses. The ownership, operation, and management of our Live and Historical Racing, TwinSpires,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2023, including Part I - Item 1, "Business" for a discussion of regulatory and legislative changes.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Specific State Gaming Regulations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Louisiana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Louisiana, the 2021 Historical Horse Racing Act (the "2021 HHR Act") allows off-track betting facilities ("OTBs") to have up to 50 HRMs. On October 25, 2022, a number of individual plaintiffs associated with video poker and truckstops,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The Company intends to vigorously defend the constitutionality of the HHR Act.</w:t>
      </w:r>
    </w:p>
    <w:p>
      <w:pPr>
        <w:spacing w:after="0" w:line="5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of June 30, 2024, the Company had approximately 500 HRMs in OTBs in Louisiana. If the 2021 HHR Act is determined to be unconstitutional it could have an adverse impact on our Louisiana HRM results which are reported in our Gaming segment.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our net revenue, operating income, net income attributable to Churchill Downs Incorporated, Adjusted EBITDA, and certain other financial information: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4"/>
                <w:szCs w:val="14"/>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02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768.5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1,481.6</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1,328.0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2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margin</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2"/>
        </w:trPr>
        <w:tc>
          <w:tcPr>
            <w:tcW w:w="2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Churchill</w:t>
            </w: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Downs Incorporated</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4"/>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 Compared to Three Months Ended June 30, 2023</w:t>
      </w:r>
    </w:p>
    <w:p>
      <w:pPr>
        <w:spacing w:after="0" w:line="96" w:lineRule="exact"/>
        <w:rPr>
          <w:sz w:val="20"/>
          <w:szCs w:val="20"/>
          <w:color w:val="auto"/>
        </w:rPr>
      </w:pPr>
    </w:p>
    <w:p>
      <w:pPr>
        <w:jc w:val="both"/>
        <w:ind w:left="520" w:hanging="260"/>
        <w:spacing w:after="0" w:line="264"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$122.2 million driven by a $79.7 million increase from the Live and Historical Racing segment primarily due to a record-breaking Derby Week at Churchill Downs Racetrack, the opening of the Rosie's Emporia property in September 2023, and growth at our other HRM properties; a $28.3 million increase from the Gaming segment primarily driven by the opening of the Terre Haute Casino Resort in April 2024, partially offset by our decision not to renew the management agreement at Lady Luck at the end of June 2023, and inclement weather in April 2024; and a $14.3 million increase from the TwinSpires segment primarily due to Exacta. All Other net revenue decreased $0.1 million.</w:t>
      </w:r>
    </w:p>
    <w:p>
      <w:pPr>
        <w:spacing w:after="0" w:line="55" w:lineRule="exact"/>
        <w:rPr>
          <w:rFonts w:ascii="Times New Roman" w:cs="Times New Roman" w:eastAsia="Times New Roman" w:hAnsi="Times New Roman"/>
          <w:sz w:val="14"/>
          <w:szCs w:val="14"/>
          <w:b w:val="1"/>
          <w:bCs w:val="1"/>
          <w:i w:val="1"/>
          <w:iCs w:val="1"/>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Operating income increased $104.4 million driven by a $62.5 million increase from the Live and Historical Racing segment primarily due to a record-breaking Derby Week at Churchill Downs Racetrack, Exacta savings, the opening of the Rosie's Emporia property in September 2023, and growth at our other HRM properties; an increase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29" w:name="page30"/>
    <w:bookmarkEnd w:id="29"/>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to the $24.5 million non-cash impairment of Presque Isle intangible assets in the second quarter of 2023 that did not recur; a $19.1 million increase from the Gaming segment primarily due to opening of the Terre Haute Casino Resort in April 2024, partially offset by inclement weather in April 2024; a $5.7 million increase in the TwinSpires segment primarily due to Exacta; and an increase in All Other income of $2.0 million primarily related to Arlington exit costs in 2023 that did not recur. Partially offsetting these increases to operating income was a $9.3 million increase in selling, general and administrative expenses and a $0.1 million increase in transaction expenses.</w:t>
      </w:r>
    </w:p>
    <w:p>
      <w:pPr>
        <w:spacing w:after="0" w:line="56" w:lineRule="exact"/>
        <w:rPr>
          <w:sz w:val="20"/>
          <w:szCs w:val="20"/>
          <w:color w:val="auto"/>
        </w:rPr>
      </w:pPr>
    </w:p>
    <w:p>
      <w:pPr>
        <w:jc w:val="both"/>
        <w:ind w:left="520" w:hanging="260"/>
        <w:spacing w:after="0" w:line="261"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income attributable to Churchill Downs Incorporated increased $66.3 million. The following impacted the comparability of the Company's net income for the three months ended June 30, 2024 compared to the three months ended June 30, 2023: an $18.5 million decrease in after-tax non-cash impairment costs, a $5.8 million after-tax decrease in transaction, pre-open, and other expenses primarily related to Arlington exit costs in 2023, partially offset by a $1.0 million increase of other items. Excluding these items, net income increased $43.0 million due to a $49.1 million after-tax increase primarily driven by the results of our operations, partially offset by a $6.1 million after-tax increase in interest expense associated with higher outstanding debt balances and higher interest rates.</w:t>
      </w:r>
    </w:p>
    <w:p>
      <w:pPr>
        <w:spacing w:after="0" w:line="58"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4"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Adjusted EBITDA increased $81.1 million driven by a $55.7 million increase from the Live and Historical Racing segment primarily due to a record-breaking Derby Week at Churchill Downs Racetrack and growth at our HRM properties; a $17.3 million increase from the Gaming segment primarily driven by the opening of the Terre Haute Casino Resort in April 2024, partially offset by inclement weather in April 2024; and a $12.3 million increase from the TwinSpires segment primarily due to Exacta. These increases were partially offset by a decrease of All Other adjusted EBITDA of $4.2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 Compared to Six Months Ended June 30, 2023</w:t>
      </w:r>
    </w:p>
    <w:p>
      <w:pPr>
        <w:spacing w:after="0" w:line="96" w:lineRule="exact"/>
        <w:rPr>
          <w:sz w:val="20"/>
          <w:szCs w:val="20"/>
          <w:color w:val="auto"/>
        </w:rPr>
      </w:pPr>
    </w:p>
    <w:p>
      <w:pPr>
        <w:jc w:val="both"/>
        <w:ind w:left="520" w:hanging="260"/>
        <w:spacing w:after="0" w:line="264" w:lineRule="auto"/>
        <w:tabs>
          <w:tab w:leader="none" w:pos="516"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$153.6 million driven by a $110.4 million increase from the Live and Historical Racing segment primarily due to a record-breaking Derby Week at Churchill Downs Racetrack, the opening of the Rosie's Emporia property in September 2023, and growth at our other HRM properties; a $26.1 million increase from the TwinSpires segment primarily due to Exacta; and a $17.5 million increase from the Gaming segment primarily driven by the opening of the Terre Haute Casino Resort in April 2024, partially offset by our decision not to renew the management agreement at Lady Luck at the end of June 2023, and inclement weather in January and April 2024. All Other net revenue decreased $0.4 million.</w:t>
      </w:r>
    </w:p>
    <w:p>
      <w:pPr>
        <w:spacing w:after="0" w:line="55"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59" w:lineRule="auto"/>
        <w:tabs>
          <w:tab w:leader="none" w:pos="516"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Operating income increased $110.8 million driven by a $79.3 million increase from the Live and Historical Racing segment primarily due to a record-breaking Derby Week at Churchill Downs Racetrack, Exacta savings, the opening of the Rosie's Emporia property in September 2023, and growth at our other HRM properties; an increase attributable to the $24.5 million non-cash impairment of Presque Isle intangible assets in the second quarter of 2023 that did not recur; a $15.3 million increase in the TwinSpires segment primarily due to Exacta; an increase in All Other income of $4.6 million primarily related to Arlington exit costs in 2023 that did not recur; and a $3.3 million increase from the Gaming segment primarily due to opening of the Terre Haute Casino Resort in April 2024, partially offset by inclement weather in January and April 2024. Partially offsetting these increases to operating income was an $11.8 million increase in selling, general and administrative expenses and a $4.4 million increase in transaction expenses.</w:t>
      </w:r>
    </w:p>
    <w:p>
      <w:pPr>
        <w:spacing w:after="0" w:line="61"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1" w:lineRule="auto"/>
        <w:tabs>
          <w:tab w:leader="none" w:pos="516"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income attributable to Churchill Downs Incorporated decreased $9.0 million. The following impacted the comparability of the Company's net income for the six months ended June 30, 2024 compared to the six months ended June 30, 2023: an $86.2 million after-tax gain on the sale of the Arlington property in the prior year, partially offset by an $18.5 million decrease in after-tax non-cash impairment costs, a $4.2 million after-tax increase of other recoveries, net related to non-recurring insurance claim recoveries, and a $1.3 million decrease of other items. Excluding these items, net income increased $53.2 million primarily due to a $63.6 million after-tax increase primarily driven by the results of our operations, partially offset by a $10.4 million after-tax increase in interest expense associated with higher outstanding debt balances and higher interest rates.</w:t>
      </w:r>
    </w:p>
    <w:p>
      <w:pPr>
        <w:spacing w:after="0" w:line="58"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4" w:lineRule="auto"/>
        <w:tabs>
          <w:tab w:leader="none" w:pos="516"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Adjusted EBITDA increased $100.7 million driven by a $74.4 million increase from the Live and Historical Racing segment primarily due to a record-breaking Derby Week at Churchill Downs Racetrack and growth at our HRM properties; a $22.5 million increase from the TwinSpires segment primarily due to Exacta; and a $10.6 million increase from the Gaming segment driven by the opening of the Terre Haute Casino Resort in April 2024, partially offset by inclement weather in January and April 2024. These increases were partially offset by a decrease of All Other adjusted EBITDA of $6.8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570230</wp:posOffset>
            </wp:positionV>
            <wp:extent cx="71278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Revenue by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for our segments, including intercompany revenue:</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4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623.8</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7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r>
      <w:tr>
        <w:trPr>
          <w:trHeight w:val="20"/>
        </w:trPr>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 Compared to Three Months Ended June 30, 2023</w:t>
      </w:r>
    </w:p>
    <w:p>
      <w:pPr>
        <w:spacing w:after="0" w:line="53" w:lineRule="exact"/>
        <w:rPr>
          <w:sz w:val="20"/>
          <w:szCs w:val="20"/>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revenue increased $82.2 million due to a $53.8 million increase at Churchill Downs Racetrack, which includes a $37.6 million increase due to a record-breaking Derby Week; a $17.4 million increase attributable to growth at our Virginia properties and the opening of the Rosie's Emporia property in September 2023; a $10.3 million increase attributable to growth at our Kentucky HRM properties; and a $0.7 million increase at our other Live and Historical Racing properties.</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revenue increased $20.8 million due to a $14.7 million increase attributable to Exacta, a $4.3 million net increase in Horse Racing revenue primarily due to increased affiliate wagering handle partially offset by a decline in TwinSpires retail horse racing handle due to shifts in race days at other tracks and market access, and a $1.8 million increase attributable to our online sports betting market access agreements and our retail sports betting business.</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$26.5 million due to a $33.9 million increase attributable to the opening of the Terre Haute Casino Resort in April 2024, and a $1.9 million increase in New York, partially offset by a $5.4 million decrease in Pennsylvania primarily due to our decision not to renew the management agreement at Lady Luck at the end of June 2023, a $2.7 million decrease in Maine primarily due to inclement weather in April 2024, and a $1.2 million net decrease at our other Gaming properties.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revenue increased due to intercompany revenue related to the captive insurance company that was established in April 2024. All captive revenue is eliminated in consolidation.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 Compared to Six Months Ended June 30, 2023</w:t>
      </w:r>
    </w:p>
    <w:p>
      <w:pPr>
        <w:spacing w:after="0" w:line="96" w:lineRule="exact"/>
        <w:rPr>
          <w:sz w:val="20"/>
          <w:szCs w:val="20"/>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revenue increased $115.3 million due to a $54.5 million increase at Churchill Downs Racetrack, which includes a $38.0 million increase due to a record-breaking Derby Week; a $30.9 million increase attributable to growth at our Virginia properties and the opening of the Rosie's Emporia property in September 2023; a $28.5 million increase attributable to growth at our Kentucky HRM properties; and a $1.4 million increase at our other Live and Historical Racing properties.</w:t>
      </w:r>
    </w:p>
    <w:p>
      <w:pPr>
        <w:spacing w:after="0" w:line="50" w:lineRule="exact"/>
        <w:rPr>
          <w:rFonts w:ascii="Times New Roman" w:cs="Times New Roman" w:eastAsia="Times New Roman" w:hAnsi="Times New Roman"/>
          <w:sz w:val="14"/>
          <w:szCs w:val="14"/>
          <w:i w:val="1"/>
          <w:iCs w:val="1"/>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revenue increased $38.5 million due to a $29.0 million increase attributable to Exacta, a $5.5 million net increase in Horse Racing revenue primarily due to increased affiliate wagering handle partially offset by a decline in TwinSpires retail horse racing handle due to shifts in race days at other tracks and market access, and a $4.0 million increase attributable to our online sports betting market access agreements and our retail sports betting business.</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$18.1 million due to a $33.9 million increase attributable to the opening of the Terre Haute Casino Resort in April 2024, partially offset by an $11.7 million decrease in Pennsylvania primarily due to our decision not to renew the management agreement at Lady Luck at the end of June 2023, and a $4.1 million net decrease primarily due to inclement weather in January 2024 across several of our other Gaming properties and in Maine in April 2024.</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All Other revenue increased due to intercompany revenue related to the captive insurance company that was established in April 2024. All captive revenue is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Consolidated Operating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consolidated operating expense: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34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84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5"/>
              </w:rPr>
              <w:t>174.1</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tcPr>
          <w:p>
            <w:pPr>
              <w:spacing w:after="0"/>
              <w:rPr>
                <w:sz w:val="14"/>
                <w:szCs w:val="14"/>
                <w:color w:val="auto"/>
              </w:rPr>
            </w:pPr>
          </w:p>
        </w:tc>
        <w:tc>
          <w:tcPr>
            <w:tcW w:w="84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expense, net</w:t>
            </w:r>
          </w:p>
        </w:tc>
        <w:tc>
          <w:tcPr>
            <w:tcW w:w="840" w:type="dxa"/>
            <w:vAlign w:val="bottom"/>
          </w:tcPr>
          <w:p>
            <w:pPr>
              <w:spacing w:after="0"/>
              <w:rPr>
                <w:sz w:val="15"/>
                <w:szCs w:val="15"/>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(19.8)</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Asset impairments</w:t>
            </w:r>
          </w:p>
        </w:tc>
        <w:tc>
          <w:tcPr>
            <w:tcW w:w="8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(0.3)</w:t>
            </w:r>
          </w:p>
        </w:tc>
      </w:t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(6.1)</w:t>
            </w:r>
          </w:p>
        </w:tc>
      </w:tr>
      <w:tr>
        <w:trPr>
          <w:trHeight w:val="171"/>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expense</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560.7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5"/>
              </w:rPr>
              <w:t>542.9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1,025.3</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982.5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42.8</w:t>
            </w:r>
          </w:p>
        </w:tc>
      </w:tr>
      <w:tr>
        <w:trPr>
          <w:trHeight w:val="20"/>
        </w:trPr>
        <w:tc>
          <w:tcPr>
            <w:tcW w:w="3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and Six Months Ended June 30, 2024, Compared to Three and Six Months Ended June 30, 2023</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expenses increased $17.8 million and $42.8 million for the three and six months ended June 30, 2024 compared to June 30, 2023 primarily due to the Exacta Transaction in August 2023, the opening of Rosie's Emporia in September 2023, Derby City Gaming Downtown in December 2023, and Terre Haute Casino Resort in Indiana on April 5, 2024 and the hotel on May 15, 2024; and the planned opening of The Rose Gaming Resort in Virginia in late September 2024. These increases were offset by the $24.5 million non-cash impairment of Presque Isle intangible assets in the second quarter of 2023 that did not recur.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2"/>
        </w:trPr>
        <w:tc>
          <w:tcPr>
            <w:tcW w:w="3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Pr>
          <w:p>
            <w:pPr>
              <w:spacing w:after="0"/>
              <w:rPr>
                <w:sz w:val="14"/>
                <w:szCs w:val="14"/>
                <w:color w:val="auto"/>
              </w:rPr>
            </w:pP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TwinSpires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67"/>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8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0"/>
        </w:trPr>
        <w:tc>
          <w:tcPr>
            <w:tcW w:w="3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 Compared to Three Months Ended June 30, 2023</w:t>
      </w:r>
    </w:p>
    <w:p>
      <w:pPr>
        <w:spacing w:after="0" w:line="43" w:lineRule="exact"/>
        <w:rPr>
          <w:sz w:val="20"/>
          <w:szCs w:val="20"/>
          <w:color w:val="auto"/>
        </w:rPr>
      </w:pPr>
    </w:p>
    <w:p>
      <w:pPr>
        <w:jc w:val="both"/>
        <w:ind w:left="520" w:hanging="260"/>
        <w:spacing w:after="0" w:line="25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Adjusted EBITDA increased $55.7 million due to a $38.1 million increase at Churchill Downs Racetrack, which includes a $32.2 million increase due to a record-breaking Derby Week; a $16.1 million increase attributable to growth at our Virginia properties, which includes $5.6 million related to Exacta savings; and a $1.5 million increase from growth at our other HRM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250825</wp:posOffset>
            </wp:positionV>
            <wp:extent cx="71278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2" w:name="page33"/>
    <w:bookmarkEnd w:id="32"/>
    <w:p>
      <w:pPr>
        <w:ind w:left="520" w:hanging="260"/>
        <w:spacing w:after="0" w:line="27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Adjusted EBITDA increased $12.3 million due to a $10.1 million increase attributable to Exacta, a $1.9 million increase attributable to our online sports betting market access agreements and our retail sports betting business, and a $0.3 million increase in Horse Racing from increased revenue that was mostly offset by higher content and related expenses.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48"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increased $17.3 million due to a $19.9 million increase attributable to the opening of the Terre Haute Casino Resort in April 2024 and a $3.5 million increase in New York primarily due to union-related payments in 2023 that did not recur. The increase was partially offset by a $2.2 million decrease in Maine primarily due to inclement weather in April 2024, a $0.9 million decrease in Pennsylvania primarily due to our decision not to renew the management agreement at Lady Luck at the end of June 2023, and a $3.0 million net decrease at our other Gaming properties primarily driven by Louisiana, Maryland, and Mississippi.</w:t>
      </w:r>
    </w:p>
    <w:p>
      <w:pPr>
        <w:spacing w:after="0" w:line="6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$4.2 million driven primarily by increased corporate compensation related expenses and other corporate administrative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 Compared to Six Months Ended June 30, 2023</w:t>
      </w:r>
    </w:p>
    <w:p>
      <w:pPr>
        <w:spacing w:after="0" w:line="85" w:lineRule="exact"/>
        <w:rPr>
          <w:sz w:val="20"/>
          <w:szCs w:val="20"/>
          <w:color w:val="auto"/>
        </w:rPr>
      </w:pPr>
    </w:p>
    <w:p>
      <w:pPr>
        <w:jc w:val="both"/>
        <w:ind w:left="520" w:hanging="260"/>
        <w:spacing w:after="0" w:line="246" w:lineRule="auto"/>
        <w:tabs>
          <w:tab w:leader="none" w:pos="51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Adjusted EBITDA increased $74.4 million due to a $35.3 million increase at Churchill Downs Racetrack, which includes a $31.4 million increase due to a record-breaking Derby Week; a $28.9 million increase attributable to growth at our Virginia properties, which includes $11.3 million related to Exacta savings; and a $10.2 million increase from growth at our other HRM properties.</w:t>
      </w:r>
    </w:p>
    <w:p>
      <w:pPr>
        <w:spacing w:after="0" w:line="56" w:lineRule="exact"/>
        <w:rPr>
          <w:rFonts w:ascii="Times New Roman" w:cs="Times New Roman" w:eastAsia="Times New Roman" w:hAnsi="Times New Roman"/>
          <w:sz w:val="14"/>
          <w:szCs w:val="14"/>
          <w:i w:val="1"/>
          <w:iCs w:val="1"/>
          <w:color w:val="auto"/>
        </w:rPr>
      </w:pPr>
    </w:p>
    <w:p>
      <w:pPr>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TwinSpires Adjusted EBITDA increased $22.5 million due to a $19.5 million increase attributable to Exacta, and a $3.4 million increase attributable to our online sports betting market access agreements and our retail sports betting business, partially offset by a $0.4 million decrease in Horse Racing primarily from higher content and related expenses.</w:t>
      </w:r>
    </w:p>
    <w:p>
      <w:pPr>
        <w:spacing w:after="0" w:line="3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increased $10.6 million due to a $20.7 million increase attributable to the opening of the Terre Haute Casino Resort in April 2024, partially offset by a $10.1 million decrease across many of our Gaming properties due to inclement weather in January 2024 and in Maine in April 2024.</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$6.8 million driven primarily by increased corporate compensation related expenses and other corporate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7"/>
              </w:rPr>
              <w:t>66.3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4"/>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67.2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4"/>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27.9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Adjustments to EBITDA:</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8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Arlington exit costs</w:t>
            </w:r>
          </w:p>
        </w:tc>
        <w:tc>
          <w:tcPr>
            <w:tcW w:w="24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impairments</w:t>
            </w:r>
          </w:p>
        </w:tc>
        <w:tc>
          <w:tcPr>
            <w:tcW w:w="24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expense, net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Rivers Des Plaines' legal reserves and transactions costs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4"/>
        </w:trPr>
        <w:tc>
          <w:tcPr>
            <w:tcW w:w="3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sale of Arlington</w:t>
            </w: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1"/>
        </w:trPr>
        <w:tc>
          <w:tcPr>
            <w:tcW w:w="3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adjustments to EBITDA</w:t>
            </w: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7"/>
              </w:rPr>
              <w:t>81.1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our overall financial position: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7"/>
                <w:szCs w:val="17"/>
                <w:color w:val="auto"/>
              </w:rPr>
            </w:pPr>
          </w:p>
        </w:tc>
        <w:tc>
          <w:tcPr>
            <w:tcW w:w="16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7,170.1</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6,955.5</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6,123.1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6,061.9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1,047.0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items affecting the comparability of our Condensed Consolidated Balance Sheets include:</w:t>
      </w:r>
    </w:p>
    <w:p>
      <w:pPr>
        <w:spacing w:after="0" w:line="94" w:lineRule="exact"/>
        <w:rPr>
          <w:sz w:val="20"/>
          <w:szCs w:val="20"/>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increased $214.6 million driven by increased capital expenditures primarily at the Terre Haute Casino Resort, Churchill Downs Racetrack, and The Rose Gaming Resort in Virginia.</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increased $61.2 million driven primarily by increased accounts payable and taxes payable, partially offset by decreased current deferred revenue due to the recognition of revenue related to the 150th Kentucky Derby and the payment of dividends.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equity increased $153.4 million driven by net income and the addition of a redeemable noncontrolling interest, partially offset by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liquidity and cash flows: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1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2"/>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471.7</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8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80"/>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5"/>
                <w:szCs w:val="15"/>
                <w:color w:val="auto"/>
              </w:rPr>
            </w:pPr>
          </w:p>
        </w:tc>
        <w:tc>
          <w:tcPr>
            <w:tcW w:w="12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7"/>
              </w:rPr>
              <w:t>(290.1)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r>
      <w:tr>
        <w:trPr>
          <w:trHeight w:val="184"/>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16"/>
                <w:szCs w:val="16"/>
                <w:color w:val="auto"/>
              </w:rPr>
            </w:pPr>
          </w:p>
        </w:tc>
        <w:tc>
          <w:tcPr>
            <w:tcW w:w="12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7"/>
              </w:rPr>
              <w:t>(173.5)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 Compared to the Six Months Ended June 30, 2023</w:t>
      </w:r>
    </w:p>
    <w:p>
      <w:pPr>
        <w:spacing w:after="0" w:line="53" w:lineRule="exact"/>
        <w:rPr>
          <w:sz w:val="20"/>
          <w:szCs w:val="20"/>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provided by operating activities increased $69.1 million driven primarily by an increase in operating income, partially offset by increased interest paid in 2024 and decreased distributions from our unconsolidated affiliates. We anticipate that cash flows from operations and availability of borrowings under our credit facility over the next twelve months will be adequate to fund our business operations and capital expenditures.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used in investing activities increased $171.1 million primarily driven by $195.7 million proceeds from the Arlington sale received in 2023 that did not recur in 2024.</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Cash flows used in financing activities increased $125.8 million primarily driven by share repurchases in 2024.</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announced several project capital investments, including the following: Grandstand Club and Pavilion Renovation at Churchill Downs Racetrack, The Rose Gaming Resort in Northern Virginia, Owensboro Racing and Gaming in Western Kentucky, an Oak Grove HRM annex in Southwestern Kentucky, and a Salem HRM entertainment venue in New Hampshire. We currently expect our project capital to be approximately $450.0 to $550.0 million in 2024, although this amount may vary significantly based on the timing of work completed, unanticipated delays, and timing of payments to third parties.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 Program</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The 2021 Stock Repurchase Program includes and is not in addition to the unspent amount remaining under the prior authorization. Repurchases may be made at management’s discretion from time to time on the open market (either with or without a 10b5-1 plan) or through privately negotiated transactions. The repurchase program has no time limit and may be suspended or discontinued at any time. During the second quarter of 2024, we repurchased 93,874 shares of the Company's common stock under the 2021 Stock Repurchase Program for a total cost of approximately $13.0 million. We had approximately $179.9 million of repurchase authority remaining under this program on June 30, 2024, based on trade date.</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1836420</wp:posOffset>
            </wp:positionV>
            <wp:extent cx="71278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 and Indebtedness</w:t>
            </w: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debt outstanding:</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7"/>
                <w:szCs w:val="17"/>
                <w:color w:val="auto"/>
              </w:rPr>
            </w:pPr>
          </w:p>
        </w:tc>
        <w:tc>
          <w:tcPr>
            <w:tcW w:w="158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net of premiums and discounts</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debt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4,791.3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June 30, 2024, the Company’s senior secured credit facility (as amended from time to time, the “Credit Agreement") consisted of a $1.2 billion revolving credit facility (the "Revolver"), $290.2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and (ii) amend certain other provisions to the Credit Agreement.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June 30, 2024, that applicable margin was 150 basis points which was based on the pricing grid in the Credit Agreement. The Company had $893.5 million available borrowing capacity, after consideration of $6.0 million in outstanding letters of credit, under the Revolver as of June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June 30, 2024, the Company's commitment fee rate was 0.25%.</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contractual payments, including interest, under the Credit Agreement for the next twelve months are estimated to be $209.4 million assuming no change in the weighted average borrowing rate of 7.04%, which was in place as of June 30, 2024. During the six months ended June 30, 2024, we had repayments of principal and interest on the Revolver of $577.7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30,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247015</wp:posOffset>
            </wp:positionV>
            <wp:extent cx="71278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Notes at any time prior to April 25, 2025, at redemption prices set forth in the 2031 Offering Memorandum.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June 30, 2024, minimum rent payable under operating leases was $29.6 million, with $5.9 million due in the next twelve months. As of June 30, 2024, minimum rent payable accounted for as financing obligations was $57.5 million, with $5.0 million due in the next twelve months.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Contractual Obligations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other contractual obligations with commitments of $12.4 million, $1.6 million of which is due within the next twelve months.</w:t>
      </w:r>
    </w:p>
    <w:p>
      <w:pPr>
        <w:spacing w:after="0" w:line="134" w:lineRule="exact"/>
        <w:rPr>
          <w:sz w:val="20"/>
          <w:szCs w:val="20"/>
          <w:color w:val="auto"/>
        </w:rPr>
      </w:pPr>
    </w:p>
    <w:p>
      <w:pPr>
        <w:ind w:right="554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ITEM 3. QUANTITATIVE AND QUALITATIVE DISCLOSURES ABOUT MARKET RISK </w:t>
      </w:r>
      <w:r>
        <w:rPr>
          <w:rFonts w:ascii="Times New Roman" w:cs="Times New Roman" w:eastAsia="Times New Roman" w:hAnsi="Times New Roman"/>
          <w:sz w:val="14"/>
          <w:szCs w:val="14"/>
          <w:color w:val="auto"/>
        </w:rPr>
        <w:t>We are exposed to market risks arising from adverse changes in:</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trends;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and credit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economic trends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credit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exposure to market risk relates to changes in interest rates. On June 30, 2024, we had $1.8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$13.0 million.</w:t>
      </w:r>
    </w:p>
    <w:p>
      <w:pPr>
        <w:spacing w:after="0" w:line="91"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by the Securities and Exchange Commission Rule 13a-15(e), we carried out an evaluation, under the supervision and with the participation of management, including our Chief Executive Officer and Chief Financial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effectiveness of the design and operation of our disclosure controls and procedures as of June 30, 2024. Based upon the foregoing, our Chief Executive Officer and Chief Financial Officer concluded that our disclosure controls and procedures were effective.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8" w:name="page39"/>
    <w:bookmarkEnd w:id="38"/>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PART II.</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involved in ordinary routine litigation matters which are incidental to our business. Refer to Note 14, Contingencies, in the notes to our condensed consolidated financial statements, for further information.</w:t>
      </w:r>
    </w:p>
    <w:p>
      <w:pPr>
        <w:spacing w:after="0" w:line="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risk factors previously disclosed in Part I, Item 1A of our Annual Report on Form 10-K for the year ended December 31, 2023.</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shares of common stock that we repurchased during the quarter ended June 30,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4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00" w:type="dxa"/>
            <w:vAlign w:val="bottom"/>
          </w:tcPr>
          <w:p>
            <w:pPr>
              <w:spacing w:after="0"/>
              <w:rPr>
                <w:sz w:val="12"/>
                <w:szCs w:val="12"/>
                <w:color w:val="auto"/>
              </w:rPr>
            </w:pPr>
          </w:p>
        </w:tc>
        <w:tc>
          <w:tcPr>
            <w:tcW w:w="1760" w:type="dxa"/>
            <w:vAlign w:val="bottom"/>
            <w:gridSpan w:val="2"/>
          </w:tcPr>
          <w:p>
            <w:pPr>
              <w:jc w:val="right"/>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7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b w:val="1"/>
                <w:bCs w:val="1"/>
                <w:color w:val="auto"/>
                <w:w w:val="93"/>
              </w:rPr>
              <w:t xml:space="preserve">Purchased </w:t>
            </w:r>
            <w:r>
              <w:rPr>
                <w:rFonts w:ascii="Times New Roman" w:cs="Times New Roman" w:eastAsia="Times New Roman" w:hAnsi="Times New Roman"/>
                <w:sz w:val="18"/>
                <w:szCs w:val="18"/>
                <w:b w:val="1"/>
                <w:bCs w:val="1"/>
                <w:color w:val="auto"/>
                <w:w w:val="93"/>
                <w:vertAlign w:val="superscript"/>
              </w:rPr>
              <w:t>(1)(2)</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5"/>
                <w:szCs w:val="15"/>
                <w:color w:val="auto"/>
              </w:rPr>
            </w:pPr>
          </w:p>
        </w:tc>
        <w:tc>
          <w:tcPr>
            <w:tcW w:w="1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or Programs (in millions)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April 2024</w:t>
            </w:r>
          </w:p>
        </w:tc>
        <w:tc>
          <w:tcPr>
            <w:tcW w:w="8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123.09</w:t>
            </w:r>
          </w:p>
        </w:tc>
        <w:tc>
          <w:tcPr>
            <w:tcW w:w="10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0" w:type="dxa"/>
            <w:vAlign w:val="bottom"/>
          </w:tcPr>
          <w:p>
            <w:pPr>
              <w:spacing w:after="0"/>
              <w:rPr>
                <w:sz w:val="1"/>
                <w:szCs w:val="1"/>
                <w:color w:val="auto"/>
              </w:rPr>
            </w:pPr>
          </w:p>
        </w:tc>
      </w:tr>
      <w:tr>
        <w:trPr>
          <w:trHeight w:val="180"/>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May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133.09</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0" w:type="dxa"/>
            <w:vAlign w:val="bottom"/>
          </w:tcPr>
          <w:p>
            <w:pPr>
              <w:spacing w:after="0"/>
              <w:rPr>
                <w:sz w:val="1"/>
                <w:szCs w:val="1"/>
                <w:color w:val="auto"/>
              </w:rPr>
            </w:pPr>
          </w:p>
        </w:tc>
      </w:tr>
      <w:tr>
        <w:trPr>
          <w:trHeight w:val="184"/>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138.41</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71"/>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94,768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138.38</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hanging="375"/>
        <w:spacing w:after="0" w:line="287" w:lineRule="auto"/>
        <w:tabs>
          <w:tab w:leader="none" w:pos="37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2021, the Board of Directors of the Company approved a common stock repurchase program of up to $500.0 million. The 2021 Stock Repurchase Program includes and is not in addition to the unspent amount remaining under the prior authorization. The repurchase program has no time limit and may be suspended or discontinued at any time.</w:t>
      </w:r>
    </w:p>
    <w:p>
      <w:pPr>
        <w:spacing w:after="0" w:line="3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withheld to pay taxes on the vesting of restricted stock and restricted stock units or to pay taxes on the exercise of stock options granted to employees.</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June 30, 2024,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6"/>
        </w:trPr>
        <w:tc>
          <w:tcPr>
            <w:tcW w:w="6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20" w:type="dxa"/>
            <w:vAlign w:val="bottom"/>
          </w:tcPr>
          <w:p>
            <w:pPr>
              <w:spacing w:after="0"/>
              <w:rPr>
                <w:sz w:val="22"/>
                <w:szCs w:val="22"/>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By reference to:</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10.01</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Churchill Downs Incorporated Non-Employee Director Restricted Stock</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19"/>
        </w:trPr>
        <w:tc>
          <w:tcPr>
            <w:tcW w:w="1240" w:type="dxa"/>
            <w:vAlign w:val="bottom"/>
            <w:gridSpan w:val="3"/>
          </w:tcPr>
          <w:p>
            <w:pPr>
              <w:jc w:val="center"/>
              <w:ind w:right="120"/>
              <w:spacing w:after="0"/>
              <w:rPr>
                <w:rFonts w:ascii="Times New Roman" w:cs="Times New Roman" w:eastAsia="Times New Roman" w:hAnsi="Times New Roman"/>
                <w:sz w:val="14"/>
                <w:szCs w:val="14"/>
                <w:color w:val="auto"/>
              </w:rPr>
            </w:pPr>
            <w:hyperlink r:id="rId104">
              <w:r>
                <w:rPr>
                  <w:rFonts w:ascii="Times New Roman" w:cs="Times New Roman" w:eastAsia="Times New Roman" w:hAnsi="Times New Roman"/>
                  <w:sz w:val="14"/>
                  <w:szCs w:val="14"/>
                  <w:color w:val="auto"/>
                </w:rPr>
                <w:t>10.02</w:t>
              </w:r>
            </w:hyperlink>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Sixth Amendment to Credit Agreement, dated July 3, 2024, by and among Churchill</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Downs Incorporated, the guarantors party thereto, the lenders party thereto, and JPMorgan</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Chase Bank, N.A., as administrative agent</w:t>
            </w:r>
          </w:p>
        </w:tc>
        <w:tc>
          <w:tcPr>
            <w:tcW w:w="36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Exhibit 10.01 to Current Report on Form 8-K filed July 3, 2024</w:t>
            </w:r>
          </w:p>
        </w:tc>
      </w:tr>
      <w:tr>
        <w:trPr>
          <w:trHeight w:val="213"/>
        </w:trPr>
        <w:tc>
          <w:tcPr>
            <w:tcW w:w="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31(a)</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 Section 302 of the Sarbanes-Oxley</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 of 2002*</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31(b)</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 of 2002*</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45" w:lineRule="exact"/>
        <w:rPr>
          <w:sz w:val="20"/>
          <w:szCs w:val="20"/>
          <w:color w:val="auto"/>
        </w:rPr>
      </w:pPr>
    </w:p>
    <w:p>
      <w:pPr>
        <w:ind w:left="1240" w:right="3899" w:hanging="746"/>
        <w:spacing w:after="0" w:line="233"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of Chief Executive Officer and Principal Financial Officer Pursuant to 18 U.S.C. Section 1350, As Adopted Pursuant to Section 906 of the Sarbanes-Oxley Act of 2002 (furnished pursuant to Rule 13a – 14(b))**</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101.INS</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w:t>
            </w:r>
          </w:p>
        </w:tc>
      </w:tr>
      <w:tr>
        <w:trPr>
          <w:trHeight w:val="184"/>
        </w:trPr>
        <w:tc>
          <w:tcPr>
            <w:tcW w:w="740" w:type="dxa"/>
            <w:vAlign w:val="bottom"/>
          </w:tcPr>
          <w:p>
            <w:pPr>
              <w:spacing w:after="0"/>
              <w:rPr>
                <w:sz w:val="16"/>
                <w:szCs w:val="16"/>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r>
      <w:tr>
        <w:trPr>
          <w:trHeight w:val="229"/>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101.SCH</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101.CAL</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101.DEF</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101.LAB</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101.PRE</w:t>
            </w:r>
          </w:p>
        </w:tc>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39" w:lineRule="exact"/>
        <w:rPr>
          <w:sz w:val="20"/>
          <w:szCs w:val="20"/>
          <w:color w:val="auto"/>
        </w:rPr>
      </w:pPr>
    </w:p>
    <w:p>
      <w:pPr>
        <w:ind w:left="1240" w:right="3999" w:hanging="782"/>
        <w:spacing w:after="0" w:line="239"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as Inline XBRL and contained in Exhibit 101)</w:t>
      </w:r>
    </w:p>
    <w:p>
      <w:pPr>
        <w:spacing w:after="0" w:line="50" w:lineRule="exact"/>
        <w:rPr>
          <w:rFonts w:ascii="Times New Roman" w:cs="Times New Roman" w:eastAsia="Times New Roman" w:hAnsi="Times New Roman"/>
          <w:sz w:val="14"/>
          <w:szCs w:val="14"/>
          <w:color w:val="auto"/>
        </w:rPr>
      </w:pPr>
    </w:p>
    <w:p>
      <w:pPr>
        <w:ind w:left="1240" w:right="7679"/>
        <w:spacing w:after="0" w:line="3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1278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FORM 10-Q FOR THE QUARTERLY PERIOD ENDED JUNE 30, 2024</w:t>
      </w:r>
    </w:p>
    <w:p>
      <w:pPr>
        <w:spacing w:after="0" w:line="2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100965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19"/>
          </w:cols>
          <w:pgMar w:left="340" w:top="972" w:right="1440" w:bottom="1440" w:gutter="0" w:footer="0" w:header="0"/>
        </w:sectPr>
      </w:pPr>
    </w:p>
    <w:bookmarkStart w:id="40" w:name="page41"/>
    <w:bookmarkEnd w:id="40"/>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r>
      <w:tr>
        <w:trPr>
          <w:trHeight w:val="785"/>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July 24, 2024</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C. Carstanjen</w:t>
            </w:r>
          </w:p>
        </w:tc>
      </w:tr>
      <w:tr>
        <w:trPr>
          <w:trHeight w:val="167"/>
        </w:trPr>
        <w:tc>
          <w:tcPr>
            <w:tcW w:w="55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r>
      <w:tr>
        <w:trPr>
          <w:trHeight w:val="180"/>
        </w:trPr>
        <w:tc>
          <w:tcPr>
            <w:tcW w:w="55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9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July 24, 2024</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Marcia A. Dall</w:t>
            </w:r>
          </w:p>
        </w:tc>
      </w:tr>
      <w:tr>
        <w:trPr>
          <w:trHeight w:val="167"/>
        </w:trPr>
        <w:tc>
          <w:tcPr>
            <w:tcW w:w="55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Marcia A. Dall</w:t>
            </w:r>
          </w:p>
        </w:tc>
      </w:tr>
      <w:tr>
        <w:trPr>
          <w:trHeight w:val="180"/>
        </w:trPr>
        <w:tc>
          <w:tcPr>
            <w:tcW w:w="55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552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ectPr>
          <w:pgSz w:w="11900" w:h="16838" w:orient="portrait"/>
          <w:cols w:equalWidth="0" w:num="1">
            <w:col w:w="11080"/>
          </w:cols>
          <w:pgMar w:left="300" w:top="123" w:right="519" w:bottom="1440"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31(a)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C. Carstanjen, certify that:</w:t>
      </w:r>
    </w:p>
    <w:p>
      <w:pPr>
        <w:spacing w:after="0" w:line="179"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24, 2024</w:t>
      </w:r>
      <w:r>
        <w:rPr>
          <w:sz w:val="20"/>
          <w:szCs w:val="20"/>
          <w:color w:val="auto"/>
        </w:rPr>
        <w:tab/>
      </w:r>
      <w:r>
        <w:rPr>
          <w:rFonts w:ascii="Times New Roman" w:cs="Times New Roman" w:eastAsia="Times New Roman" w:hAnsi="Times New Roman"/>
          <w:sz w:val="13"/>
          <w:szCs w:val="13"/>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William C. Carstanjen</w:t>
      </w:r>
    </w:p>
    <w:p>
      <w:pPr>
        <w:ind w:left="624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62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31(b)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Marcia A. Dall, certify that:</w:t>
      </w:r>
    </w:p>
    <w:p>
      <w:pPr>
        <w:spacing w:after="0" w:line="179" w:lineRule="exact"/>
        <w:rPr>
          <w:sz w:val="20"/>
          <w:szCs w:val="20"/>
          <w:color w:val="auto"/>
        </w:rPr>
      </w:pPr>
    </w:p>
    <w:p>
      <w:pPr>
        <w:ind w:left="380" w:hanging="375"/>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24, 2024</w:t>
      </w:r>
      <w:r>
        <w:rPr>
          <w:sz w:val="20"/>
          <w:szCs w:val="20"/>
          <w:color w:val="auto"/>
        </w:rPr>
        <w:tab/>
      </w: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Marcia A. Dall</w:t>
      </w:r>
    </w:p>
    <w:p>
      <w:pPr>
        <w:ind w:left="624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ectPr>
          <w:pgSz w:w="11900" w:h="16838" w:orient="portrait"/>
          <w:cols w:equalWidth="0" w:num="1">
            <w:col w:w="11280"/>
          </w:cols>
          <w:pgMar w:left="300" w:top="728"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Quarterly Report on Form 10-Q of Churchill Downs Incorporated (the “Company”) for the quarterly period ended June 30, 2024,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40" w:lineRule="exact"/>
        <w:rPr>
          <w:sz w:val="20"/>
          <w:szCs w:val="20"/>
          <w:color w:val="auto"/>
        </w:rPr>
      </w:pPr>
    </w:p>
    <w:p>
      <w:pPr>
        <w:ind w:left="640" w:hanging="253"/>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C. Carstanjen</w:t>
      </w:r>
    </w:p>
    <w:p>
      <w:pPr>
        <w:ind w:left="2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July 24, 2024</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Marcia A. Dall</w:t>
      </w:r>
    </w:p>
    <w:p>
      <w:pPr>
        <w:ind w:left="2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July 24, 2024</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endash "/>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32"/>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04" Type="http://schemas.openxmlformats.org/officeDocument/2006/relationships/hyperlink" Target="https://www.sec.gov/Archives/edgar/data/20212/000119312524175054/d858296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2024-07-24T16:00:46Z</dcterms:created>
  <dcterms:modified xsi:type="dcterms:W3CDTF">2024-07-24T16:00:46Z</dcterms:modified>
</cp:coreProperties>
</file>