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14A</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Proxy Statement Pursuant to Section 14(a) of the Securities Exchange Act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1934</w:t>
      </w:r>
    </w:p>
    <w:p>
      <w:pPr>
        <w:jc w:val="center"/>
        <w:ind w:right="1999"/>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tabs>
          <w:tab w:leader="none" w:pos="4620" w:val="left"/>
          <w:tab w:leader="none" w:pos="4940" w:val="left"/>
        </w:tabs>
        <w:rPr>
          <w:sz w:val="20"/>
          <w:szCs w:val="20"/>
          <w:color w:val="auto"/>
        </w:rPr>
      </w:pPr>
      <w:r>
        <w:rPr>
          <w:rFonts w:ascii="Courier New" w:cs="Courier New" w:eastAsia="Courier New" w:hAnsi="Courier New"/>
          <w:sz w:val="18"/>
          <w:szCs w:val="18"/>
          <w:color w:val="auto"/>
        </w:rPr>
        <w:t>Filed by a Party other than the Registrant</w:t>
        <w:tab/>
        <w:t>[</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38" w:lineRule="auto"/>
        <w:rPr>
          <w:sz w:val="20"/>
          <w:szCs w:val="20"/>
          <w:color w:val="auto"/>
        </w:rPr>
      </w:pPr>
      <w:r>
        <w:rPr>
          <w:rFonts w:ascii="Courier New" w:cs="Courier New" w:eastAsia="Courier New" w:hAnsi="Courier New"/>
          <w:sz w:val="18"/>
          <w:szCs w:val="18"/>
          <w:color w:val="auto"/>
        </w:rPr>
        <w:t>[ ] Preliminary Proxy Statement</w:t>
      </w:r>
    </w:p>
    <w:p>
      <w:pPr>
        <w:spacing w:after="0" w:line="5" w:lineRule="exact"/>
        <w:rPr>
          <w:sz w:val="24"/>
          <w:szCs w:val="24"/>
          <w:color w:val="auto"/>
        </w:rPr>
      </w:pPr>
    </w:p>
    <w:p>
      <w:pPr>
        <w:ind w:left="420" w:right="1879" w:hanging="412"/>
        <w:spacing w:after="0" w:line="235"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rPr>
          <w:sz w:val="20"/>
          <w:szCs w:val="20"/>
          <w:color w:val="auto"/>
        </w:rPr>
      </w:pPr>
      <w:r>
        <w:rPr>
          <w:rFonts w:ascii="Courier New" w:cs="Courier New" w:eastAsia="Courier New" w:hAnsi="Courier New"/>
          <w:sz w:val="18"/>
          <w:szCs w:val="18"/>
          <w:color w:val="auto"/>
        </w:rPr>
        <w:t>[X] Definitive Proxy Statement</w:t>
      </w:r>
    </w:p>
    <w:p>
      <w:pPr>
        <w:spacing w:after="0"/>
        <w:tabs>
          <w:tab w:leader="none" w:pos="1680" w:val="left"/>
        </w:tabs>
        <w:rPr>
          <w:sz w:val="20"/>
          <w:szCs w:val="20"/>
          <w:color w:val="auto"/>
        </w:rPr>
      </w:pPr>
      <w:r>
        <w:rPr>
          <w:rFonts w:ascii="Courier New" w:cs="Courier New" w:eastAsia="Courier New" w:hAnsi="Courier New"/>
          <w:sz w:val="18"/>
          <w:szCs w:val="18"/>
          <w:color w:val="auto"/>
        </w:rPr>
        <w:t>[ ] Definitive</w:t>
      </w:r>
      <w:r>
        <w:rPr>
          <w:sz w:val="20"/>
          <w:szCs w:val="20"/>
          <w:color w:val="auto"/>
        </w:rPr>
        <w:tab/>
      </w:r>
      <w:r>
        <w:rPr>
          <w:rFonts w:ascii="Courier New" w:cs="Courier New" w:eastAsia="Courier New" w:hAnsi="Courier New"/>
          <w:sz w:val="16"/>
          <w:szCs w:val="16"/>
          <w:color w:val="auto"/>
        </w:rPr>
        <w:t>Additional Materials</w:t>
      </w:r>
    </w:p>
    <w:p>
      <w:pPr>
        <w:spacing w:after="0"/>
        <w:rPr>
          <w:sz w:val="20"/>
          <w:szCs w:val="20"/>
          <w:color w:val="auto"/>
        </w:rPr>
      </w:pPr>
      <w:r>
        <w:rPr>
          <w:rFonts w:ascii="Courier New" w:cs="Courier New" w:eastAsia="Courier New" w:hAnsi="Courier New"/>
          <w:sz w:val="18"/>
          <w:szCs w:val="18"/>
          <w:color w:val="auto"/>
        </w:rPr>
        <w:t>[ ] Soliciting Material Pursuant to ss.240.14a-11(c) or ss.240.14a-12</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CHURCHILL DOWNS INCORPORATED</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Alexander M. Waldrop, Senior Vice President, General Counsel &amp; Secretary</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(Name of Person(s) Filing Proxy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4" w:lineRule="exact"/>
        <w:rPr>
          <w:sz w:val="24"/>
          <w:szCs w:val="24"/>
          <w:color w:val="auto"/>
        </w:rPr>
      </w:pPr>
    </w:p>
    <w:p>
      <w:pPr>
        <w:ind w:left="420" w:right="219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per Exchange Act Rules 0-11(c)(1)(ii), 14a-6(i)(1), 14a-6(j)(2) or Item 22(a)(2) of Schedule 14A.</w:t>
      </w:r>
    </w:p>
    <w:p>
      <w:pPr>
        <w:spacing w:after="0" w:line="6" w:lineRule="exact"/>
        <w:rPr>
          <w:sz w:val="24"/>
          <w:szCs w:val="24"/>
          <w:color w:val="auto"/>
        </w:rPr>
      </w:pPr>
    </w:p>
    <w:p>
      <w:pPr>
        <w:ind w:left="420" w:right="1779" w:hanging="420"/>
        <w:spacing w:after="0"/>
        <w:rPr>
          <w:sz w:val="20"/>
          <w:szCs w:val="20"/>
          <w:color w:val="auto"/>
        </w:rPr>
      </w:pPr>
      <w:r>
        <w:rPr>
          <w:rFonts w:ascii="Courier New" w:cs="Courier New" w:eastAsia="Courier New" w:hAnsi="Courier New"/>
          <w:sz w:val="18"/>
          <w:szCs w:val="18"/>
          <w:color w:val="auto"/>
        </w:rPr>
        <w:t>[ ] $500 per</w:t>
      </w:r>
      <w:r>
        <w:rPr>
          <w:sz w:val="20"/>
          <w:szCs w:val="20"/>
          <w:color w:val="auto"/>
        </w:rPr>
        <w:t xml:space="preserve"> </w:t>
      </w:r>
      <w:r>
        <w:rPr>
          <w:rFonts w:ascii="Courier New" w:cs="Courier New" w:eastAsia="Courier New" w:hAnsi="Courier New"/>
          <w:sz w:val="18"/>
          <w:szCs w:val="18"/>
          <w:color w:val="auto"/>
        </w:rPr>
        <w:t>each party to the controversy pursuant to Exchange Act Rule 14a-6(i)(3).</w:t>
      </w:r>
    </w:p>
    <w:p>
      <w:pPr>
        <w:spacing w:after="0" w:line="201" w:lineRule="exact"/>
        <w:rPr>
          <w:sz w:val="24"/>
          <w:szCs w:val="24"/>
          <w:color w:val="auto"/>
        </w:rPr>
      </w:pPr>
    </w:p>
    <w:p>
      <w:pPr>
        <w:ind w:left="420" w:right="325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202"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060" w:right="1779" w:hanging="420"/>
        <w:spacing w:after="0" w:line="235"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0" w:lineRule="exact"/>
        <w:rPr>
          <w:sz w:val="24"/>
          <w:szCs w:val="24"/>
          <w:color w:val="auto"/>
        </w:rPr>
      </w:pPr>
    </w:p>
    <w:p>
      <w:pPr>
        <w:spacing w:after="0" w:line="204"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paid previously with preliminary materials</w:t>
      </w:r>
    </w:p>
    <w:p>
      <w:pPr>
        <w:spacing w:after="0" w:line="207" w:lineRule="exact"/>
        <w:rPr>
          <w:sz w:val="24"/>
          <w:szCs w:val="24"/>
          <w:color w:val="auto"/>
        </w:rPr>
      </w:pPr>
    </w:p>
    <w:p>
      <w:pPr>
        <w:ind w:left="640" w:right="1779" w:hanging="632"/>
        <w:spacing w:after="0" w:line="237" w:lineRule="auto"/>
        <w:tabs>
          <w:tab w:leader="none" w:pos="3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81"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852" w:right="1440" w:bottom="862" w:gutter="0" w:footer="0" w:header="0"/>
        </w:sectPr>
      </w:pPr>
    </w:p>
    <w:bookmarkStart w:id="1" w:name="page2"/>
    <w:bookmarkEnd w:id="1"/>
    <w:p>
      <w:pPr>
        <w:jc w:val="center"/>
        <w:ind w:right="1999"/>
        <w:spacing w:after="0"/>
        <w:rPr>
          <w:sz w:val="20"/>
          <w:szCs w:val="20"/>
          <w:color w:val="auto"/>
        </w:rPr>
      </w:pPr>
      <w:r>
        <w:rPr>
          <w:rFonts w:ascii="Courier New" w:cs="Courier New" w:eastAsia="Courier New" w:hAnsi="Courier New"/>
          <w:sz w:val="18"/>
          <w:szCs w:val="18"/>
          <w:color w:val="auto"/>
        </w:rPr>
        <w:t>CHURCHILL DOWNS INCORPORATED</w:t>
      </w:r>
    </w:p>
    <w:p>
      <w:pPr>
        <w:jc w:val="center"/>
        <w:ind w:right="1999"/>
        <w:spacing w:after="0" w:line="238" w:lineRule="auto"/>
        <w:rPr>
          <w:sz w:val="20"/>
          <w:szCs w:val="20"/>
          <w:color w:val="auto"/>
        </w:rPr>
      </w:pPr>
      <w:r>
        <w:rPr>
          <w:rFonts w:ascii="Courier New" w:cs="Courier New" w:eastAsia="Courier New" w:hAnsi="Courier New"/>
          <w:sz w:val="18"/>
          <w:szCs w:val="18"/>
          <w:color w:val="auto"/>
        </w:rPr>
        <w:t>700 Central Avenue</w:t>
      </w:r>
    </w:p>
    <w:p>
      <w:pPr>
        <w:jc w:val="center"/>
        <w:ind w:right="1999"/>
        <w:spacing w:after="0"/>
        <w:rPr>
          <w:sz w:val="20"/>
          <w:szCs w:val="20"/>
          <w:color w:val="auto"/>
        </w:rPr>
      </w:pPr>
      <w:r>
        <w:rPr>
          <w:rFonts w:ascii="Courier New" w:cs="Courier New" w:eastAsia="Courier New" w:hAnsi="Courier New"/>
          <w:sz w:val="18"/>
          <w:szCs w:val="18"/>
          <w:color w:val="auto"/>
        </w:rPr>
        <w:t>Louisville, Kentucky 40208</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ind w:left="2640"/>
        <w:spacing w:after="0" w:line="238" w:lineRule="auto"/>
        <w:rPr>
          <w:sz w:val="20"/>
          <w:szCs w:val="20"/>
          <w:color w:val="auto"/>
        </w:rPr>
      </w:pPr>
      <w:r>
        <w:rPr>
          <w:rFonts w:ascii="Courier New" w:cs="Courier New" w:eastAsia="Courier New" w:hAnsi="Courier New"/>
          <w:sz w:val="18"/>
          <w:szCs w:val="18"/>
          <w:color w:val="auto"/>
        </w:rPr>
        <w:t>TO BE HELD ON JUNE 15,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 Churchill Downs Incorporated:</w:t>
      </w:r>
    </w:p>
    <w:p>
      <w:pPr>
        <w:spacing w:after="0" w:line="200" w:lineRule="exact"/>
        <w:rPr>
          <w:sz w:val="20"/>
          <w:szCs w:val="20"/>
          <w:color w:val="auto"/>
        </w:rPr>
      </w:pPr>
    </w:p>
    <w:p>
      <w:pPr>
        <w:spacing w:after="0" w:line="209"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Notice is hereby given that the Annual Meeting of Shareholders of Churchill Downs Incorporated (the "Company"), a Kentucky corporation, will be held at Churchill Downs Sports Spectrum, 4520 Poplar Level Road, Louisville, Kentucky, on Thursday, June 15, 1995 at 10:00 a.m. E.D.T. for the following purposes:</w:t>
      </w:r>
    </w:p>
    <w:p>
      <w:pPr>
        <w:spacing w:after="0" w:line="203" w:lineRule="exact"/>
        <w:rPr>
          <w:sz w:val="20"/>
          <w:szCs w:val="20"/>
          <w:color w:val="auto"/>
        </w:rPr>
      </w:pPr>
    </w:p>
    <w:p>
      <w:pPr>
        <w:ind w:left="1280" w:hanging="640"/>
        <w:spacing w:after="0"/>
        <w:tabs>
          <w:tab w:leader="none" w:pos="12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five (5)  Class II  Directors  for a term of three</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one (1) Class I Director  for a term of two (2) years and one</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III Director for a term of one (1) year (Proposal No. 1);</w:t>
      </w:r>
    </w:p>
    <w:p>
      <w:pPr>
        <w:spacing w:after="0" w:line="207" w:lineRule="exact"/>
        <w:rPr>
          <w:rFonts w:ascii="Courier New" w:cs="Courier New" w:eastAsia="Courier New" w:hAnsi="Courier New"/>
          <w:sz w:val="18"/>
          <w:szCs w:val="18"/>
          <w:color w:val="auto"/>
        </w:rPr>
      </w:pPr>
    </w:p>
    <w:p>
      <w:pPr>
        <w:jc w:val="both"/>
        <w:ind w:right="2619" w:firstLine="640"/>
        <w:spacing w:after="0" w:line="236" w:lineRule="auto"/>
        <w:tabs>
          <w:tab w:leader="none" w:pos="1264"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or disapprove the minutes of the 1994 Annual Meeting of Shareholders, approval of which does not amount to ratification of actions taken at such meeting (Proposal No. 2); and</w:t>
      </w:r>
    </w:p>
    <w:p>
      <w:pPr>
        <w:spacing w:after="0" w:line="209" w:lineRule="exact"/>
        <w:rPr>
          <w:sz w:val="20"/>
          <w:szCs w:val="20"/>
          <w:color w:val="auto"/>
        </w:rPr>
      </w:pPr>
    </w:p>
    <w:p>
      <w:pPr>
        <w:jc w:val="both"/>
        <w:ind w:right="2619" w:firstLine="640"/>
        <w:spacing w:after="0" w:line="236" w:lineRule="auto"/>
        <w:tabs>
          <w:tab w:leader="none" w:pos="126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 including matters incident to its conduct.</w:t>
      </w:r>
    </w:p>
    <w:p>
      <w:pPr>
        <w:spacing w:after="0" w:line="209"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The close of business on April 20, 1995, has been fixed as the record date for the determination of the shareholders entitled to notice of and to vote at the meeting, and only shareholders of record at that time will be entitled to notice of and to vote at the meeting and at any adjournments thereof.</w:t>
      </w:r>
    </w:p>
    <w:p>
      <w:pPr>
        <w:spacing w:after="0" w:line="209" w:lineRule="exact"/>
        <w:rPr>
          <w:sz w:val="20"/>
          <w:szCs w:val="20"/>
          <w:color w:val="auto"/>
        </w:rPr>
      </w:pPr>
    </w:p>
    <w:p>
      <w:pPr>
        <w:jc w:val="both"/>
        <w:ind w:right="1779" w:firstLine="1264"/>
        <w:spacing w:after="0" w:line="235" w:lineRule="auto"/>
        <w:rPr>
          <w:sz w:val="20"/>
          <w:szCs w:val="20"/>
          <w:color w:val="auto"/>
        </w:rPr>
      </w:pPr>
      <w:r>
        <w:rPr>
          <w:rFonts w:ascii="Courier New" w:cs="Courier New" w:eastAsia="Courier New" w:hAnsi="Courier New"/>
          <w:sz w:val="18"/>
          <w:szCs w:val="18"/>
          <w:color w:val="auto"/>
        </w:rPr>
        <w:t>Shareholders who do not expect to attend the meeting in person are urged to sign, date and promptly return the Proxy that is enclosed herewith.</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ALEXANDER M. WALDROP</w:t>
      </w:r>
    </w:p>
    <w:p>
      <w:pPr>
        <w:ind w:left="3160"/>
        <w:spacing w:after="0" w:line="238" w:lineRule="auto"/>
        <w:rPr>
          <w:sz w:val="20"/>
          <w:szCs w:val="20"/>
          <w:color w:val="auto"/>
        </w:rPr>
      </w:pPr>
      <w:r>
        <w:rPr>
          <w:rFonts w:ascii="Courier New" w:cs="Courier New" w:eastAsia="Courier New" w:hAnsi="Courier New"/>
          <w:sz w:val="18"/>
          <w:szCs w:val="18"/>
          <w:color w:val="auto"/>
        </w:rPr>
        <w:t>Senior Vice President, Secretary</w:t>
      </w:r>
    </w:p>
    <w:p>
      <w:pPr>
        <w:ind w:left="3160"/>
        <w:spacing w:after="0"/>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12, 1995</w:t>
      </w:r>
    </w:p>
    <w:p>
      <w:pPr>
        <w:sectPr>
          <w:pgSz w:w="11900" w:h="16838" w:orient="portrait"/>
          <w:cols w:equalWidth="0" w:num="1">
            <w:col w:w="10219"/>
          </w:cols>
          <w:pgMar w:left="240" w:top="1325" w:right="1440" w:bottom="1440" w:gutter="0" w:footer="0" w:header="0"/>
        </w:sectPr>
      </w:pPr>
    </w:p>
    <w:bookmarkStart w:id="2" w:name="page3"/>
    <w:bookmarkEnd w:id="2"/>
    <w:p>
      <w:pPr>
        <w:jc w:val="center"/>
        <w:ind w:right="2619"/>
        <w:spacing w:after="0"/>
        <w:rPr>
          <w:sz w:val="20"/>
          <w:szCs w:val="20"/>
          <w:color w:val="auto"/>
        </w:rPr>
      </w:pPr>
      <w:r>
        <w:rPr>
          <w:rFonts w:ascii="Courier New" w:cs="Courier New" w:eastAsia="Courier New" w:hAnsi="Courier New"/>
          <w:sz w:val="18"/>
          <w:szCs w:val="18"/>
          <w:color w:val="auto"/>
        </w:rPr>
        <w:t>CHURCHILL DOWNS INCORPORATED</w:t>
      </w:r>
    </w:p>
    <w:p>
      <w:pPr>
        <w:jc w:val="center"/>
        <w:ind w:right="2619"/>
        <w:spacing w:after="0" w:line="238" w:lineRule="auto"/>
        <w:rPr>
          <w:sz w:val="20"/>
          <w:szCs w:val="20"/>
          <w:color w:val="auto"/>
        </w:rPr>
      </w:pPr>
      <w:r>
        <w:rPr>
          <w:rFonts w:ascii="Courier New" w:cs="Courier New" w:eastAsia="Courier New" w:hAnsi="Courier New"/>
          <w:sz w:val="18"/>
          <w:szCs w:val="18"/>
          <w:color w:val="auto"/>
        </w:rPr>
        <w:t>700 Central Avenue</w:t>
      </w:r>
    </w:p>
    <w:p>
      <w:pPr>
        <w:jc w:val="center"/>
        <w:ind w:right="2619"/>
        <w:spacing w:after="0"/>
        <w:rPr>
          <w:sz w:val="20"/>
          <w:szCs w:val="20"/>
          <w:color w:val="auto"/>
        </w:rPr>
      </w:pPr>
      <w:r>
        <w:rPr>
          <w:rFonts w:ascii="Courier New" w:cs="Courier New" w:eastAsia="Courier New" w:hAnsi="Courier New"/>
          <w:sz w:val="18"/>
          <w:szCs w:val="18"/>
          <w:color w:val="auto"/>
        </w:rPr>
        <w:t>Louisville, Kentucky 40208</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PROXY STATEMENT</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Annual Meeting of Shareholders</w:t>
      </w:r>
    </w:p>
    <w:p>
      <w:pPr>
        <w:ind w:left="2320"/>
        <w:spacing w:after="0" w:line="238" w:lineRule="auto"/>
        <w:rPr>
          <w:sz w:val="20"/>
          <w:szCs w:val="20"/>
          <w:color w:val="auto"/>
        </w:rPr>
      </w:pPr>
      <w:r>
        <w:rPr>
          <w:rFonts w:ascii="Courier New" w:cs="Courier New" w:eastAsia="Courier New" w:hAnsi="Courier New"/>
          <w:sz w:val="18"/>
          <w:szCs w:val="18"/>
          <w:color w:val="auto"/>
        </w:rPr>
        <w:t>To Be Held on June 15, 1995</w:t>
      </w:r>
    </w:p>
    <w:p>
      <w:pPr>
        <w:spacing w:after="0" w:line="200" w:lineRule="exact"/>
        <w:rPr>
          <w:sz w:val="20"/>
          <w:szCs w:val="20"/>
          <w:color w:val="auto"/>
        </w:rPr>
      </w:pPr>
    </w:p>
    <w:p>
      <w:pPr>
        <w:spacing w:after="0" w:line="210"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The enclosed Proxy is being solicited by the Board of Directors of Churchill Downs Incorporated (the "Company") to be voted at the 1995 Annual Meeting of Shareholders to be held on Thursday, June 15, 1995, at 10:00 a.m., E.D.T. (the "Annual Meeting"), at the Churchill Downs Sports Spectrum, 4520 Poplar Level Road, Louisville, Kentucky and any adjournments thereof. The Proxy and this Proxy Statement are being sent to shareholders on or about May 12, 1995.</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 AND VOTE REQUIRED</w:t>
      </w:r>
    </w:p>
    <w:p>
      <w:pPr>
        <w:spacing w:after="0" w:line="207" w:lineRule="exact"/>
        <w:rPr>
          <w:sz w:val="20"/>
          <w:szCs w:val="20"/>
          <w:color w:val="auto"/>
        </w:rPr>
      </w:pPr>
    </w:p>
    <w:p>
      <w:pPr>
        <w:jc w:val="both"/>
        <w:ind w:right="1779" w:firstLine="1264"/>
        <w:spacing w:after="0" w:line="270" w:lineRule="auto"/>
        <w:rPr>
          <w:sz w:val="20"/>
          <w:szCs w:val="20"/>
          <w:color w:val="auto"/>
        </w:rPr>
      </w:pPr>
      <w:r>
        <w:rPr>
          <w:rFonts w:ascii="Courier New" w:cs="Courier New" w:eastAsia="Courier New" w:hAnsi="Courier New"/>
          <w:sz w:val="16"/>
          <w:szCs w:val="16"/>
          <w:color w:val="auto"/>
        </w:rPr>
        <w:t>Only holders of record of the Company's Common Stock, No Par Value ("Common Stock"), on April 20, 1995, are entitled to notice of and to vote at the Annual Meeting. On that date, 3,783,318 shares of Common Stock were outstanding and entitled to vote. Each shareholder has one vote per share on all matters coming before the Annual Meeting, other than the election of directors. In the election of directors, a shareholder is entitled by Kentucky statute to exercise "cumulative" voting rights; that is, the shareholder is entitled to cast as many votes as equals the number of shares owned by the shareholder multiplied by the number of directors to be elected and may cast all such votes for a single nominee or distribute them among the nominees in any manner that the shareholder desires. Shares represented by proxies received may be voted cumulatively (see "Election of Directors"). Under the Company's Articles of Incorporation and Bylaws and the Kentucky statutes, abstentions and broker non-votes on any matter are not counted in determining the number of votes</w:t>
      </w:r>
    </w:p>
    <w:p>
      <w:pPr>
        <w:sectPr>
          <w:pgSz w:w="11900" w:h="16838" w:orient="portrait"/>
          <w:cols w:equalWidth="0" w:num="1">
            <w:col w:w="10219"/>
          </w:cols>
          <w:pgMar w:left="240" w:top="1325" w:right="1440" w:bottom="1440" w:gutter="0" w:footer="0" w:header="0"/>
        </w:sectPr>
      </w:pPr>
    </w:p>
    <w:bookmarkStart w:id="3" w:name="page4"/>
    <w:bookmarkEnd w:id="3"/>
    <w:p>
      <w:pPr>
        <w:jc w:val="both"/>
        <w:ind w:right="1779"/>
        <w:spacing w:after="0" w:line="236" w:lineRule="auto"/>
        <w:rPr>
          <w:sz w:val="20"/>
          <w:szCs w:val="20"/>
          <w:color w:val="auto"/>
        </w:rPr>
      </w:pPr>
      <w:r>
        <w:rPr>
          <w:rFonts w:ascii="Courier New" w:cs="Courier New" w:eastAsia="Courier New" w:hAnsi="Courier New"/>
          <w:sz w:val="18"/>
          <w:szCs w:val="18"/>
          <w:color w:val="auto"/>
        </w:rPr>
        <w:t>required for election of a director or passage of any matter submitted to the shareholders. Abstentions and broker non-votes are counted for purposes of determining whether a quorum exists.</w:t>
      </w:r>
    </w:p>
    <w:p>
      <w:pPr>
        <w:spacing w:after="0" w:line="6"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If the enclosed Proxy is properly executed and returned prior to the Annual Meeting, the shares represented thereby will be voted as specified therein. IF A SHAREHOLDER DOES NOT SPECIFY OTHERWISE, THE SHARES REPRESENTED BY THE SHAREHOLDER'S PROXY WILL BE VOTED FOR THE ELECTION OF THE NOMINEES LISTED BELOW UNDER "ELECTION OF DIRECTORS," FOR APPROVAL OF THE MINUTES OF THE 1994 ANNUAL MEETING OF SHAREHOLDERS AND ON SUCH OTHER BUSINESS AS MAY PROPERLY COME BEFORE THE ANNUAL MEETING OR ANY ADJOURNMENTS THEREOF.</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REVOCATION OF PROXY</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 proxy may be revoked at any time before the shares it represents are voted by written notice received by the Secretary of the Company and a revocation shall be effective for all votes after receipt.</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COMMON STOCK OWNED BY CERTAIN PERSONS</w:t>
      </w:r>
    </w:p>
    <w:p>
      <w:pPr>
        <w:spacing w:after="0" w:line="207"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The following table sets forth information concerning the beneficial ownership of the Common Stock as of April 1, 1995 (except as otherwise indicated), by [i] the only persons known by the Board of Directors to own beneficially more than five percent (5%) of the Common Stock and [ii] the Company's directors, nominees for election as directors and executive officers as a group. Except as otherwise indicated, the persons named in the table have sole voting and investment power with respect to all shares of Common Stock shown as beneficially owned by them.</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900" w:type="dxa"/>
            <w:vAlign w:val="bottom"/>
          </w:tcPr>
          <w:p>
            <w:pPr>
              <w:ind w:left="940"/>
              <w:spacing w:after="0"/>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r>
      <w:tr>
        <w:trPr>
          <w:trHeight w:val="203"/>
        </w:trPr>
        <w:tc>
          <w:tcPr>
            <w:tcW w:w="422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NAME AND ADDRESS</w:t>
            </w:r>
          </w:p>
        </w:tc>
        <w:tc>
          <w:tcPr>
            <w:tcW w:w="29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BENEFICIALLY</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4220" w:type="dxa"/>
            <w:vAlign w:val="bottom"/>
            <w:gridSpan w:val="2"/>
          </w:tcPr>
          <w:p>
            <w:pPr>
              <w:jc w:val="right"/>
              <w:ind w:right="1272"/>
              <w:spacing w:after="0" w:line="203" w:lineRule="exact"/>
              <w:rPr>
                <w:sz w:val="20"/>
                <w:szCs w:val="20"/>
                <w:color w:val="auto"/>
              </w:rPr>
            </w:pPr>
            <w:r>
              <w:rPr>
                <w:rFonts w:ascii="Courier New" w:cs="Courier New" w:eastAsia="Courier New" w:hAnsi="Courier New"/>
                <w:sz w:val="18"/>
                <w:szCs w:val="18"/>
                <w:color w:val="auto"/>
              </w:rPr>
              <w:t>OF BENEFICIAL OWNER</w:t>
            </w:r>
          </w:p>
        </w:tc>
        <w:tc>
          <w:tcPr>
            <w:tcW w:w="2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OWNED</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CLASS</w:t>
            </w:r>
          </w:p>
        </w:tc>
      </w:tr>
      <w:tr>
        <w:trPr>
          <w:trHeight w:val="405"/>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28 parties to a Third Supplemental</w:t>
            </w: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Stockholder Agreement</w:t>
            </w: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 Thomas H. Meeker, Stockholder</w:t>
            </w: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Representative</w:t>
            </w:r>
          </w:p>
        </w:tc>
        <w:tc>
          <w:tcPr>
            <w:tcW w:w="2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700 Central Avenue</w:t>
            </w:r>
          </w:p>
        </w:tc>
        <w:tc>
          <w:tcPr>
            <w:tcW w:w="2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Louisville, Kentucky</w:t>
            </w:r>
          </w:p>
        </w:tc>
        <w:tc>
          <w:tcPr>
            <w:tcW w:w="21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40208</w:t>
            </w:r>
          </w:p>
        </w:tc>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1,196,146(1)(5)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r>
      <w:tr>
        <w:trPr>
          <w:trHeight w:val="405"/>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National City Corporation</w:t>
            </w: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National City Center</w:t>
            </w:r>
          </w:p>
        </w:tc>
        <w:tc>
          <w:tcPr>
            <w:tcW w:w="2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1900 East Ninth Street</w:t>
            </w: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Cleveland, Ohio 44114</w:t>
            </w:r>
          </w:p>
        </w:tc>
        <w:tc>
          <w:tcPr>
            <w:tcW w:w="2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196,485(2)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Darrell R. Wells</w:t>
            </w:r>
          </w:p>
        </w:tc>
        <w:tc>
          <w:tcPr>
            <w:tcW w:w="21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4350 Brownsboro Road</w:t>
            </w:r>
          </w:p>
        </w:tc>
        <w:tc>
          <w:tcPr>
            <w:tcW w:w="2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310</w:t>
            </w:r>
          </w:p>
        </w:tc>
        <w:tc>
          <w:tcPr>
            <w:tcW w:w="2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Louisville, Kentucky</w:t>
            </w:r>
          </w:p>
        </w:tc>
        <w:tc>
          <w:tcPr>
            <w:tcW w:w="21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40207</w:t>
            </w:r>
          </w:p>
        </w:tc>
        <w:tc>
          <w:tcPr>
            <w:tcW w:w="2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232,930(3)(4)(5)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w:t>
            </w:r>
          </w:p>
        </w:tc>
      </w:tr>
      <w:tr>
        <w:trPr>
          <w:trHeight w:val="405"/>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Charles W. Bidwill, Jr.</w:t>
            </w: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911 Sunset Road</w:t>
            </w:r>
          </w:p>
        </w:tc>
        <w:tc>
          <w:tcPr>
            <w:tcW w:w="21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Winnetka, Illinois</w:t>
            </w:r>
          </w:p>
        </w:tc>
        <w:tc>
          <w:tcPr>
            <w:tcW w:w="210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2"/>
              </w:rPr>
              <w:t>60093</w:t>
            </w:r>
          </w:p>
        </w:tc>
        <w:tc>
          <w:tcPr>
            <w:tcW w:w="2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221,259(3)(4)(5)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r>
      <w:tr>
        <w:trPr>
          <w:trHeight w:val="405"/>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23 Directors, Nominees for Director</w:t>
            </w:r>
          </w:p>
        </w:tc>
        <w:tc>
          <w:tcPr>
            <w:tcW w:w="2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Executive Officers as a Group</w:t>
            </w:r>
          </w:p>
        </w:tc>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1,206,782(3)(4)(5)(6)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40" w:right="1779" w:hanging="632"/>
        <w:spacing w:after="0" w:line="269"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provided as of April 18, 1995. Pursuant to certain federal securities laws, the parties to the Third Supplemental Stockholder Agreement (the "Stockholder Agreement") may collectively be considered a "group" and therefore may be deemed a "person" known by management of the Company to own beneficially more than 5% of the shares of Common Stock of the Company. The names and addresses of the parties to the Stockholder Agreement are set forth in the Schedule 13D filed by such parties with the Securities and Exchange Commission ("SEC") on April 25, 1995, which filing is incorporated herein by reference. Each shareholder who is a party to the Stockholder Agreement has agreed that until April 15, 1997, such shareholder will not sell, transfer, assign or otherwise dispose of shares of Common Stock beneficially owned or acquired by such shareholder without first offering to sell such Common Stock to the Company and to all other signatories to the Stockholder Agreement on the same terms and conditions as in an offer received from a third party by such shareholder. The Stockholder Agreement provides for proration of the shares offered by the selling shareholder in the event that more than one of the signatories to the Stockholder Agreement desires to purchase the shares offered by such selling shareholder. The Stockholder Agreement provides that Common Stock may be transferred by the parties to the Agreement, without compliance with the Agreement [i] pursuant to an offer to purchase not less than all of the outstanding shares of the Common Stock that the Board of Directors</w:t>
      </w:r>
    </w:p>
    <w:p>
      <w:pPr>
        <w:sectPr>
          <w:pgSz w:w="11900" w:h="16838" w:orient="portrait"/>
          <w:cols w:equalWidth="0" w:num="1">
            <w:col w:w="10219"/>
          </w:cols>
          <w:pgMar w:left="240" w:top="520" w:right="1440" w:bottom="0" w:gutter="0" w:footer="0" w:header="0"/>
        </w:sectPr>
      </w:pPr>
    </w:p>
    <w:bookmarkStart w:id="4" w:name="page5"/>
    <w:bookmarkEnd w:id="4"/>
    <w:p>
      <w:pPr>
        <w:jc w:val="both"/>
        <w:ind w:right="1779"/>
        <w:spacing w:after="0" w:line="271" w:lineRule="auto"/>
        <w:rPr>
          <w:sz w:val="20"/>
          <w:szCs w:val="20"/>
          <w:color w:val="auto"/>
        </w:rPr>
      </w:pPr>
      <w:r>
        <w:rPr>
          <w:rFonts w:ascii="Courier New" w:cs="Courier New" w:eastAsia="Courier New" w:hAnsi="Courier New"/>
          <w:sz w:val="16"/>
          <w:szCs w:val="16"/>
          <w:color w:val="auto"/>
        </w:rPr>
        <w:t>has recommended and that an independent financial advisor retained by the Company has determined is fair to the Company's shareholders from a financial point of view; [ii] by gift, will or pursuant to the laws of descent and distribution; [iii] by pledge to a financial institution; [iv] if the transfer is by operation of law; or [v] in a small transaction which is defined to be a transfer in any single calendar month of 3,000 shares or less of the Common Stock. The Stockholder Agreement does not restrict the rights of any shareholder who is a party thereto to vote the</w:t>
      </w:r>
    </w:p>
    <w:p>
      <w:pPr>
        <w:sectPr>
          <w:pgSz w:w="11900" w:h="16838" w:orient="portrait"/>
          <w:cols w:equalWidth="0" w:num="1">
            <w:col w:w="9579"/>
          </w:cols>
          <w:pgMar w:left="880" w:top="142" w:right="1440" w:bottom="1440" w:gutter="0" w:footer="0" w:header="0"/>
        </w:sectPr>
      </w:pPr>
    </w:p>
    <w:bookmarkStart w:id="5" w:name="page6"/>
    <w:bookmarkEnd w:id="5"/>
    <w:p>
      <w:pPr>
        <w:jc w:val="both"/>
        <w:ind w:left="640" w:right="1779"/>
        <w:spacing w:after="0" w:line="237" w:lineRule="auto"/>
        <w:rPr>
          <w:sz w:val="20"/>
          <w:szCs w:val="20"/>
          <w:color w:val="auto"/>
        </w:rPr>
      </w:pPr>
      <w:r>
        <w:rPr>
          <w:rFonts w:ascii="Courier New" w:cs="Courier New" w:eastAsia="Courier New" w:hAnsi="Courier New"/>
          <w:sz w:val="18"/>
          <w:szCs w:val="18"/>
          <w:color w:val="auto"/>
        </w:rPr>
        <w:t>Common Stock, to receive cash or stock dividends, to receive shares of Common Stock in a stock split, or to sell or dispose of shares of Common Stock, except as specifically set forth in such Stockholder Agreement. The Company has approved and become a third party beneficiary of the Stockholder Agreement.</w:t>
      </w:r>
    </w:p>
    <w:p>
      <w:pPr>
        <w:spacing w:after="0" w:line="200" w:lineRule="exact"/>
        <w:rPr>
          <w:sz w:val="20"/>
          <w:szCs w:val="20"/>
          <w:color w:val="auto"/>
        </w:rPr>
      </w:pPr>
    </w:p>
    <w:p>
      <w:pPr>
        <w:spacing w:after="0" w:line="211" w:lineRule="exact"/>
        <w:rPr>
          <w:sz w:val="20"/>
          <w:szCs w:val="20"/>
          <w:color w:val="auto"/>
        </w:rPr>
      </w:pPr>
    </w:p>
    <w:p>
      <w:pPr>
        <w:jc w:val="both"/>
        <w:ind w:left="640" w:right="1779" w:hanging="632"/>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National City Corporation and its wholly-owned subsidiary, National City Bank, Kentucky ("National City"), have informed the Company that on February 10, 1995, National City held a total of 196,485 shares in fiduciary accounts for others. National City has further informed the Company that it has sole power to vote or direct the voting of 53,610 shares; sole power to dispose or to direct the disposition of 173,120 shares; shared power to vote or direct the voting of no shares; and shared power to dispose or direct the disposition of 22,215 shares.</w:t>
      </w:r>
    </w:p>
    <w:p>
      <w:pPr>
        <w:spacing w:after="0" w:line="212"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total shares listed above, Mr. Wells disclaims beneficial ownership of 22,400 shares held by The Wells Foundation, Inc. of which he is a trustee and of 135,791.90 shares held by The Wells Family Partnership of which he is the Managing General Partner. Mr. Wells shares voting and investment power with respect to all shares attributed to him in the above table. Mr. Bidwill shares voting and investment power with respect to 2,919 shares beneficially owned by him.</w:t>
      </w:r>
    </w:p>
    <w:p>
      <w:pPr>
        <w:spacing w:after="0" w:line="211" w:lineRule="exact"/>
        <w:rPr>
          <w:rFonts w:ascii="Courier New" w:cs="Courier New" w:eastAsia="Courier New" w:hAnsi="Courier New"/>
          <w:sz w:val="18"/>
          <w:szCs w:val="18"/>
          <w:color w:val="auto"/>
        </w:rPr>
      </w:pPr>
    </w:p>
    <w:p>
      <w:pPr>
        <w:ind w:left="640" w:right="2619" w:hanging="632"/>
        <w:spacing w:after="0" w:line="23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"Election of Directors," "Continuing Directors," and "Executive Officers of the Company," below.</w:t>
      </w:r>
    </w:p>
    <w:p>
      <w:pPr>
        <w:spacing w:after="0" w:line="208" w:lineRule="exact"/>
        <w:rPr>
          <w:rFonts w:ascii="Courier New" w:cs="Courier New" w:eastAsia="Courier New" w:hAnsi="Courier New"/>
          <w:sz w:val="18"/>
          <w:szCs w:val="18"/>
          <w:color w:val="auto"/>
        </w:rPr>
      </w:pPr>
    </w:p>
    <w:p>
      <w:pPr>
        <w:jc w:val="both"/>
        <w:ind w:left="640" w:right="1779" w:hanging="632"/>
        <w:spacing w:after="0" w:line="237"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232,930 shares beneficially owned by Mr. Wells and 222,259 (including shares acquired after April 1, 1995) shares beneficially owned by Mr. Bidwill are subject to the Stockholder Agreement. An additional 588,727 shares owned by certain other directors, nominees for election as directors and executive officers of the Company are subject to the Stockholder Agreement.</w:t>
      </w:r>
    </w:p>
    <w:p>
      <w:pPr>
        <w:spacing w:after="0" w:line="209" w:lineRule="exact"/>
        <w:rPr>
          <w:rFonts w:ascii="Courier New" w:cs="Courier New" w:eastAsia="Courier New" w:hAnsi="Courier New"/>
          <w:sz w:val="18"/>
          <w:szCs w:val="18"/>
          <w:color w:val="auto"/>
        </w:rPr>
      </w:pPr>
    </w:p>
    <w:p>
      <w:pPr>
        <w:ind w:left="640" w:right="1779" w:hanging="632"/>
        <w:spacing w:after="0" w:line="290" w:lineRule="auto"/>
        <w:tabs>
          <w:tab w:leader="none" w:pos="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1,169 shares issuable under the Company's Incentive Compensation Plan and 28,400 shares issuable under currently exercisable options.</w:t>
      </w:r>
    </w:p>
    <w:p>
      <w:pPr>
        <w:spacing w:after="0" w:line="372" w:lineRule="exact"/>
        <w:rPr>
          <w:sz w:val="20"/>
          <w:szCs w:val="20"/>
          <w:color w:val="auto"/>
        </w:rPr>
      </w:pPr>
    </w:p>
    <w:p>
      <w:pPr>
        <w:jc w:val="both"/>
        <w:ind w:right="1779" w:firstLine="1264"/>
        <w:spacing w:after="0" w:line="270" w:lineRule="auto"/>
        <w:rPr>
          <w:sz w:val="20"/>
          <w:szCs w:val="20"/>
          <w:color w:val="auto"/>
        </w:rPr>
      </w:pPr>
      <w:r>
        <w:rPr>
          <w:rFonts w:ascii="Courier New" w:cs="Courier New" w:eastAsia="Courier New" w:hAnsi="Courier New"/>
          <w:sz w:val="16"/>
          <w:szCs w:val="16"/>
          <w:color w:val="auto"/>
        </w:rPr>
        <w:t>Section 16(a) of the Securities Exchange Act of 1934 requires that the Company's executive officers, directors and persons who beneficially own more than ten percent (10%) of the Company's Common Stock file certain reports with the Securities and Exchange Commission ("SEC") with regard to their beneficial ownership of such Common Stock. Pursuant to applicable SEC regulations, the signatories to the Stockholder Agreement (and a prior stockholder agreement) are (or were) also required to file such reports with the SEC. The Company is required to disclose in this Proxy Statement any failure to file or late filings of such reports. See Footnote (1) above for a discussion of the terms of the Stockholder Agreement. During the Company's prior fiscal year, James W. Phillips and the Wells Family Partnership each made a single late filing of one (1) report, covering one (1) transaction. The Estate of Warner L. Jones, Jr. and Edna Veeneman Lewis each made late filings of two (2) reports, each covering one (1) transaction. These persons were obligated to make filings</w:t>
      </w:r>
    </w:p>
    <w:p>
      <w:pPr>
        <w:sectPr>
          <w:pgSz w:w="11900" w:h="16838" w:orient="portrait"/>
          <w:cols w:equalWidth="0" w:num="1">
            <w:col w:w="10219"/>
          </w:cols>
          <w:pgMar w:left="240" w:top="520" w:right="1440" w:bottom="1440" w:gutter="0" w:footer="0" w:header="0"/>
        </w:sectPr>
      </w:pPr>
    </w:p>
    <w:bookmarkStart w:id="6" w:name="page7"/>
    <w:bookmarkEnd w:id="6"/>
    <w:p>
      <w:pPr>
        <w:jc w:val="both"/>
        <w:ind w:right="1779"/>
        <w:spacing w:after="0" w:line="237" w:lineRule="auto"/>
        <w:rPr>
          <w:sz w:val="20"/>
          <w:szCs w:val="20"/>
          <w:color w:val="auto"/>
        </w:rPr>
      </w:pPr>
      <w:r>
        <w:rPr>
          <w:rFonts w:ascii="Courier New" w:cs="Courier New" w:eastAsia="Courier New" w:hAnsi="Courier New"/>
          <w:sz w:val="18"/>
          <w:szCs w:val="18"/>
          <w:color w:val="auto"/>
        </w:rPr>
        <w:t>with the SEC solely because they were signatories to a prior stockholder agreement which was similar to the Stockholder Agreement; none of them is an officer or director nor are they individually a beneficial owner of ten percent (10%) or more of the Company's Common Stock. In addition, one (1) late filing covering one (1) transaction was made by Seth W. Hancock, a director of the Company, and by Kevin Marie Nuss, an officer of the Company who previously was subject to the filing requirements of Section 16(a). The required reports were subsequently filed for each person. Based solely on its review of the forms filed with the SEC, the Company believes that all other filing requirements applicable to its directors, executive officers and ten percent (10%) beneficial owners were satisfied.</w:t>
      </w:r>
    </w:p>
    <w:p>
      <w:pPr>
        <w:spacing w:after="0" w:line="21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ELECTION OF DIRECTORS</w:t>
      </w:r>
    </w:p>
    <w:p>
      <w:pPr>
        <w:ind w:left="2960"/>
        <w:spacing w:after="0" w:line="238" w:lineRule="auto"/>
        <w:rPr>
          <w:sz w:val="20"/>
          <w:szCs w:val="20"/>
          <w:color w:val="auto"/>
        </w:rPr>
      </w:pPr>
      <w:r>
        <w:rPr>
          <w:rFonts w:ascii="Courier New" w:cs="Courier New" w:eastAsia="Courier New" w:hAnsi="Courier New"/>
          <w:sz w:val="18"/>
          <w:szCs w:val="18"/>
          <w:color w:val="auto"/>
        </w:rPr>
        <w:t>(PROPOSAL NO. 1)</w:t>
      </w:r>
    </w:p>
    <w:p>
      <w:pPr>
        <w:spacing w:after="0" w:line="207"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At the Annual Meeting, shareholders will vote to elect [i] five (5) persons to serve in Class II of the Board of Directors to hold office for a term of three (3) years expiring at the 1998 Annual Meeting of Shareholders and thereafter until their respective successors shall be duly elected and qualified, [ii] one (1) person to serve in Class I of the Board of Directors to hold office for a term of two (2) years expiring at the 1997 Annual Meeting of Shareholders and thereafter until his successor shall be duly elected and qualified, and [iii] one (1) person to serve in Class III of the Board of Directors to hold office for a term of one (1) year expiring at the 1996 Annual Meeting of Shareholders and thereafter until his successor shall be duly elected and qualified.</w:t>
      </w:r>
    </w:p>
    <w:p>
      <w:pPr>
        <w:spacing w:after="0" w:line="13"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The Articles of Incorporation of the Company provide that the Board of Directors shall be composed of not less than nine (9) nor more than twenty-five (25) members, the exact number to be established by the Board of Directors, and further provide for the division of the Board of Directors into three (3) approximately equal classes, of which one (1) class is elected</w:t>
      </w:r>
    </w:p>
    <w:p>
      <w:pPr>
        <w:sectPr>
          <w:pgSz w:w="11900" w:h="16838" w:orient="portrait"/>
          <w:cols w:equalWidth="0" w:num="1">
            <w:col w:w="10219"/>
          </w:cols>
          <w:pgMar w:left="240" w:top="520" w:right="1440" w:bottom="1440" w:gutter="0" w:footer="0" w:header="0"/>
        </w:sectPr>
      </w:pPr>
    </w:p>
    <w:bookmarkStart w:id="7" w:name="page8"/>
    <w:bookmarkEnd w:id="7"/>
    <w:p>
      <w:pPr>
        <w:jc w:val="both"/>
        <w:ind w:right="1779"/>
        <w:spacing w:after="0" w:line="237" w:lineRule="auto"/>
        <w:rPr>
          <w:sz w:val="20"/>
          <w:szCs w:val="20"/>
          <w:color w:val="auto"/>
        </w:rPr>
      </w:pPr>
      <w:r>
        <w:rPr>
          <w:rFonts w:ascii="Courier New" w:cs="Courier New" w:eastAsia="Courier New" w:hAnsi="Courier New"/>
          <w:sz w:val="18"/>
          <w:szCs w:val="18"/>
          <w:color w:val="auto"/>
        </w:rPr>
        <w:t>annually. At its meeting on March 16, 1995, the Board of Directors amended the Company's Bylaws to establish the number of directors at thirteen (13), an increase of three (3) directors, with four (4) directors in each of Class I and Class III and five (5) directors in Class II.</w:t>
      </w:r>
    </w:p>
    <w:p>
      <w:pPr>
        <w:spacing w:after="0" w:line="5"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At the Annual Meeting, the seven (7) persons named in the following table will be nominated on behalf of the Board of Directors for election as directors in Class II, Class I and Class III, as indicated. All of the nominees (other than Messrs. Humphrey, Lunsford and Meeker) currently serve as Class II directors of the Company and all of the nominees have agreed to serve if reelected or elected, as applicable.</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NOMINEES FOR ELECTION AS DIRECTORS</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120" w:right="340" w:firstLine="105"/>
        <w:spacing w:after="0" w:line="236" w:lineRule="auto"/>
        <w:rPr>
          <w:sz w:val="20"/>
          <w:szCs w:val="20"/>
          <w:color w:val="auto"/>
        </w:rPr>
      </w:pPr>
      <w:r>
        <w:rPr>
          <w:rFonts w:ascii="Courier New" w:cs="Courier New" w:eastAsia="Courier New" w:hAnsi="Courier New"/>
          <w:sz w:val="18"/>
          <w:szCs w:val="18"/>
          <w:color w:val="auto"/>
        </w:rPr>
        <w:t>NAME, AGE AND POSITIONS WITH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PRINCIPAL OCCUPATION (1) AND CERTAIN DIRECTORSHIPS (2)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OF</w:t>
      </w:r>
    </w:p>
    <w:p>
      <w:pPr>
        <w:ind w:left="220"/>
        <w:spacing w:after="0" w:line="238" w:lineRule="auto"/>
        <w:rPr>
          <w:sz w:val="20"/>
          <w:szCs w:val="20"/>
          <w:color w:val="auto"/>
        </w:rPr>
      </w:pPr>
      <w:r>
        <w:rPr>
          <w:rFonts w:ascii="Courier New" w:cs="Courier New" w:eastAsia="Courier New" w:hAnsi="Courier New"/>
          <w:sz w:val="18"/>
          <w:szCs w:val="18"/>
          <w:color w:val="auto"/>
        </w:rPr>
        <w:t>THE COMPANY</w:t>
      </w:r>
    </w:p>
    <w:p>
      <w:pPr>
        <w:ind w:left="320"/>
        <w:spacing w:after="0"/>
        <w:rPr>
          <w:sz w:val="20"/>
          <w:szCs w:val="20"/>
          <w:color w:val="auto"/>
        </w:rPr>
      </w:pPr>
      <w:r>
        <w:rPr>
          <w:rFonts w:ascii="Courier New" w:cs="Courier New" w:eastAsia="Courier New" w:hAnsi="Courier New"/>
          <w:sz w:val="18"/>
          <w:szCs w:val="18"/>
          <w:color w:val="auto"/>
        </w:rPr>
        <w:t>BENEFICIALLY</w:t>
      </w:r>
    </w:p>
    <w:p>
      <w:pPr>
        <w:ind w:left="220"/>
        <w:spacing w:after="0" w:line="237" w:lineRule="auto"/>
        <w:rPr>
          <w:sz w:val="20"/>
          <w:szCs w:val="20"/>
          <w:color w:val="auto"/>
        </w:rPr>
      </w:pPr>
      <w:r>
        <w:rPr>
          <w:rFonts w:ascii="Courier New" w:cs="Courier New" w:eastAsia="Courier New" w:hAnsi="Courier New"/>
          <w:sz w:val="18"/>
          <w:szCs w:val="18"/>
          <w:color w:val="auto"/>
        </w:rPr>
        <w:t>OWNED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 1995(3)</w:t>
      </w:r>
    </w:p>
    <w:p>
      <w:pPr>
        <w:spacing w:after="0" w:line="200" w:lineRule="exact"/>
        <w:rPr>
          <w:sz w:val="20"/>
          <w:szCs w:val="20"/>
          <w:color w:val="auto"/>
        </w:rPr>
      </w:pPr>
    </w:p>
    <w:p>
      <w:pPr>
        <w:sectPr>
          <w:pgSz w:w="11900" w:h="16838" w:orient="portrait"/>
          <w:cols w:equalWidth="0" w:num="3">
            <w:col w:w="1920" w:space="720"/>
            <w:col w:w="2960" w:space="720"/>
            <w:col w:w="3899"/>
          </w:cols>
          <w:pgMar w:left="240" w:top="520" w:right="1440" w:bottom="1440" w:gutter="0" w:footer="0" w:header="0"/>
          <w:type w:val="continuous"/>
        </w:sectPr>
      </w:pPr>
    </w:p>
    <w:p>
      <w:pPr>
        <w:spacing w:after="0" w:line="2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AMOUNT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OF CLASS</w:t>
      </w:r>
    </w:p>
    <w:p>
      <w:pPr>
        <w:spacing w:after="0" w:line="200" w:lineRule="exact"/>
        <w:rPr>
          <w:sz w:val="20"/>
          <w:szCs w:val="20"/>
          <w:color w:val="auto"/>
        </w:rPr>
      </w:pPr>
    </w:p>
    <w:p>
      <w:pPr>
        <w:sectPr>
          <w:pgSz w:w="11900" w:h="16838" w:orient="portrait"/>
          <w:cols w:equalWidth="0" w:num="2">
            <w:col w:w="6740" w:space="440"/>
            <w:col w:w="3039"/>
          </w:cols>
          <w:pgMar w:left="240" w:top="520" w:right="1440" w:bottom="144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CLASS II - TERMS EXPIRING IN 1998</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Catesby W. Clay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Kentucky River Coal</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46,630(4)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w:t>
      </w:r>
    </w:p>
    <w:p>
      <w:pPr>
        <w:spacing w:after="0" w:line="16" w:lineRule="exact"/>
        <w:rPr>
          <w:sz w:val="20"/>
          <w:szCs w:val="20"/>
          <w:color w:val="auto"/>
        </w:rPr>
      </w:pPr>
    </w:p>
    <w:p>
      <w:pPr>
        <w:sectPr>
          <w:pgSz w:w="11900" w:h="16838" w:orient="portrait"/>
          <w:cols w:equalWidth="0" w:num="4">
            <w:col w:w="1820" w:space="720"/>
            <w:col w:w="3060" w:space="420"/>
            <w:col w:w="940" w:space="420"/>
            <w:col w:w="283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Corporation (Coal land lessor);</w:t>
      </w:r>
    </w:p>
    <w:p>
      <w:pPr>
        <w:spacing w:after="0" w:line="20" w:lineRule="exact"/>
        <w:rPr>
          <w:sz w:val="20"/>
          <w:szCs w:val="20"/>
          <w:color w:val="auto"/>
        </w:rPr>
      </w:pPr>
    </w:p>
    <w:p>
      <w:pPr>
        <w:sectPr>
          <w:pgSz w:w="11900" w:h="16838" w:orient="portrait"/>
          <w:cols w:equalWidth="0" w:num="2">
            <w:col w:w="1820" w:space="720"/>
            <w:col w:w="767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Director since 1953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President, Runnymede Farm, Inc.</w:t>
      </w:r>
    </w:p>
    <w:p>
      <w:pPr>
        <w:spacing w:after="0" w:line="16" w:lineRule="exact"/>
        <w:rPr>
          <w:sz w:val="20"/>
          <w:szCs w:val="20"/>
          <w:color w:val="auto"/>
        </w:rPr>
      </w:pPr>
    </w:p>
    <w:p>
      <w:pPr>
        <w:sectPr>
          <w:pgSz w:w="11900" w:h="16838" w:orient="portrait"/>
          <w:cols w:equalWidth="0" w:num="2">
            <w:col w:w="2000" w:space="540"/>
            <w:col w:w="7679"/>
          </w:cols>
          <w:pgMar w:left="240" w:top="520"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8"/>
          <w:szCs w:val="18"/>
          <w:color w:val="auto"/>
        </w:rPr>
        <w:t>(Thoroughbred breeding);</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Director, National Council of</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Coal Lessors (Executive</w:t>
      </w:r>
    </w:p>
    <w:p>
      <w:pPr>
        <w:ind w:left="2540"/>
        <w:spacing w:after="0" w:line="238" w:lineRule="auto"/>
        <w:rPr>
          <w:sz w:val="20"/>
          <w:szCs w:val="20"/>
          <w:color w:val="auto"/>
        </w:rPr>
      </w:pPr>
      <w:r>
        <w:rPr>
          <w:rFonts w:ascii="Courier New" w:cs="Courier New" w:eastAsia="Courier New" w:hAnsi="Courier New"/>
          <w:sz w:val="18"/>
          <w:szCs w:val="18"/>
          <w:color w:val="auto"/>
        </w:rPr>
        <w:t>Committee), Kentucky Coal</w:t>
      </w:r>
    </w:p>
    <w:p>
      <w:pPr>
        <w:ind w:left="2540"/>
        <w:spacing w:after="0"/>
        <w:rPr>
          <w:sz w:val="20"/>
          <w:szCs w:val="20"/>
          <w:color w:val="auto"/>
        </w:rPr>
      </w:pPr>
      <w:r>
        <w:rPr>
          <w:rFonts w:ascii="Courier New" w:cs="Courier New" w:eastAsia="Courier New" w:hAnsi="Courier New"/>
          <w:sz w:val="18"/>
          <w:szCs w:val="18"/>
          <w:color w:val="auto"/>
        </w:rPr>
        <w:t>Association, University of</w:t>
      </w:r>
    </w:p>
    <w:p>
      <w:pPr>
        <w:ind w:left="2540"/>
        <w:spacing w:after="0" w:line="237" w:lineRule="auto"/>
        <w:rPr>
          <w:sz w:val="20"/>
          <w:szCs w:val="20"/>
          <w:color w:val="auto"/>
        </w:rPr>
      </w:pPr>
      <w:r>
        <w:rPr>
          <w:rFonts w:ascii="Courier New" w:cs="Courier New" w:eastAsia="Courier New" w:hAnsi="Courier New"/>
          <w:sz w:val="18"/>
          <w:szCs w:val="18"/>
          <w:color w:val="auto"/>
        </w:rPr>
        <w:t>Kentucky Mining Engineering</w:t>
      </w:r>
    </w:p>
    <w:p>
      <w:pPr>
        <w:ind w:left="2540"/>
        <w:spacing w:after="0" w:line="238" w:lineRule="auto"/>
        <w:rPr>
          <w:sz w:val="20"/>
          <w:szCs w:val="20"/>
          <w:color w:val="auto"/>
        </w:rPr>
      </w:pPr>
      <w:r>
        <w:rPr>
          <w:rFonts w:ascii="Courier New" w:cs="Courier New" w:eastAsia="Courier New" w:hAnsi="Courier New"/>
          <w:sz w:val="18"/>
          <w:szCs w:val="18"/>
          <w:color w:val="auto"/>
        </w:rPr>
        <w:t>Foundation; Director and</w:t>
      </w:r>
    </w:p>
    <w:p>
      <w:pPr>
        <w:ind w:left="2540"/>
        <w:spacing w:after="0"/>
        <w:rPr>
          <w:sz w:val="20"/>
          <w:szCs w:val="20"/>
          <w:color w:val="auto"/>
        </w:rPr>
      </w:pPr>
      <w:r>
        <w:rPr>
          <w:rFonts w:ascii="Courier New" w:cs="Courier New" w:eastAsia="Courier New" w:hAnsi="Courier New"/>
          <w:sz w:val="18"/>
          <w:szCs w:val="18"/>
          <w:color w:val="auto"/>
        </w:rPr>
        <w:t>President, Foundation for</w:t>
      </w:r>
    </w:p>
    <w:p>
      <w:pPr>
        <w:ind w:left="2540"/>
        <w:spacing w:after="0" w:line="237" w:lineRule="auto"/>
        <w:rPr>
          <w:sz w:val="20"/>
          <w:szCs w:val="20"/>
          <w:color w:val="auto"/>
        </w:rPr>
      </w:pPr>
      <w:r>
        <w:rPr>
          <w:rFonts w:ascii="Courier New" w:cs="Courier New" w:eastAsia="Courier New" w:hAnsi="Courier New"/>
          <w:sz w:val="18"/>
          <w:szCs w:val="18"/>
          <w:color w:val="auto"/>
        </w:rPr>
        <w:t>Drug-Free Youth</w:t>
      </w:r>
    </w:p>
    <w:p>
      <w:pPr>
        <w:sectPr>
          <w:pgSz w:w="11900" w:h="16838" w:orient="portrait"/>
          <w:cols w:equalWidth="0" w:num="1">
            <w:col w:w="10219"/>
          </w:cols>
          <w:pgMar w:left="240" w:top="520"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David Grissom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Chairman, Mayfair Capital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10,050(4)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16" w:lineRule="exact"/>
        <w:rPr>
          <w:sz w:val="20"/>
          <w:szCs w:val="20"/>
          <w:color w:val="auto"/>
        </w:rPr>
      </w:pPr>
    </w:p>
    <w:p>
      <w:pPr>
        <w:sectPr>
          <w:pgSz w:w="11900" w:h="16838" w:orient="portrait"/>
          <w:cols w:equalWidth="0" w:num="4">
            <w:col w:w="1820" w:space="720"/>
            <w:col w:w="2760" w:space="720"/>
            <w:col w:w="940" w:space="520"/>
            <w:col w:w="273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(Private investment firm);</w:t>
      </w:r>
    </w:p>
    <w:p>
      <w:pPr>
        <w:spacing w:after="0" w:line="20" w:lineRule="exact"/>
        <w:rPr>
          <w:sz w:val="20"/>
          <w:szCs w:val="20"/>
          <w:color w:val="auto"/>
        </w:rPr>
      </w:pPr>
    </w:p>
    <w:p>
      <w:pPr>
        <w:sectPr>
          <w:pgSz w:w="11900" w:h="16838" w:orient="portrait"/>
          <w:cols w:equalWidth="0" w:num="2">
            <w:col w:w="1820" w:space="720"/>
            <w:col w:w="7679"/>
          </w:cols>
          <w:pgMar w:left="24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Director since 1979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and Chief Executive</w:t>
      </w:r>
    </w:p>
    <w:p>
      <w:pPr>
        <w:spacing w:after="0" w:line="21" w:lineRule="exact"/>
        <w:rPr>
          <w:sz w:val="20"/>
          <w:szCs w:val="20"/>
          <w:color w:val="auto"/>
        </w:rPr>
      </w:pPr>
    </w:p>
    <w:p>
      <w:pPr>
        <w:sectPr>
          <w:pgSz w:w="11900" w:h="16838" w:orient="portrait"/>
          <w:cols w:equalWidth="0" w:num="2">
            <w:col w:w="2000" w:space="540"/>
            <w:col w:w="7679"/>
          </w:cols>
          <w:pgMar w:left="240" w:top="520"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6"/>
          <w:szCs w:val="16"/>
          <w:color w:val="auto"/>
        </w:rPr>
        <w:t>Officer, PNC Bank, Kentucky,</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Inc. and Vice Chairman, PNC</w:t>
      </w:r>
    </w:p>
    <w:p>
      <w:pPr>
        <w:sectPr>
          <w:pgSz w:w="11900" w:h="16838" w:orient="portrait"/>
          <w:cols w:equalWidth="0" w:num="1">
            <w:col w:w="10219"/>
          </w:cols>
          <w:pgMar w:left="240" w:top="520" w:right="1440" w:bottom="1440" w:gutter="0" w:footer="0" w:header="0"/>
          <w:type w:val="continuous"/>
        </w:sectPr>
      </w:pPr>
    </w:p>
    <w:p>
      <w:pPr>
        <w:ind w:left="2540"/>
        <w:spacing w:after="0" w:line="238" w:lineRule="auto"/>
        <w:rPr>
          <w:sz w:val="20"/>
          <w:szCs w:val="20"/>
          <w:color w:val="auto"/>
        </w:rPr>
      </w:pPr>
      <w:r>
        <w:rPr>
          <w:rFonts w:ascii="Courier New" w:cs="Courier New" w:eastAsia="Courier New" w:hAnsi="Courier New"/>
          <w:sz w:val="18"/>
          <w:szCs w:val="18"/>
          <w:color w:val="auto"/>
        </w:rPr>
        <w:t>Financial Corp. (until April,</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1989); Director, Transco Energy</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Company, Providian Corporation,</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Columbia/HCA Healthcare</w:t>
      </w:r>
    </w:p>
    <w:p>
      <w:pPr>
        <w:ind w:left="2540"/>
        <w:spacing w:after="0" w:line="238" w:lineRule="auto"/>
        <w:rPr>
          <w:sz w:val="20"/>
          <w:szCs w:val="20"/>
          <w:color w:val="auto"/>
        </w:rPr>
      </w:pPr>
      <w:r>
        <w:rPr>
          <w:rFonts w:ascii="Courier New" w:cs="Courier New" w:eastAsia="Courier New" w:hAnsi="Courier New"/>
          <w:sz w:val="18"/>
          <w:szCs w:val="18"/>
          <w:color w:val="auto"/>
        </w:rPr>
        <w:t>Corporation, LG&amp;E Energy</w:t>
      </w:r>
    </w:p>
    <w:p>
      <w:pPr>
        <w:ind w:left="2540"/>
        <w:spacing w:after="0"/>
        <w:rPr>
          <w:sz w:val="20"/>
          <w:szCs w:val="20"/>
          <w:color w:val="auto"/>
        </w:rPr>
      </w:pPr>
      <w:r>
        <w:rPr>
          <w:rFonts w:ascii="Courier New" w:cs="Courier New" w:eastAsia="Courier New" w:hAnsi="Courier New"/>
          <w:sz w:val="18"/>
          <w:szCs w:val="18"/>
          <w:color w:val="auto"/>
        </w:rPr>
        <w:t>Corporation, Regal Cinemas,</w:t>
      </w:r>
    </w:p>
    <w:p>
      <w:pPr>
        <w:ind w:left="2540"/>
        <w:spacing w:after="0" w:line="237" w:lineRule="auto"/>
        <w:rPr>
          <w:sz w:val="20"/>
          <w:szCs w:val="20"/>
          <w:color w:val="auto"/>
        </w:rPr>
      </w:pPr>
      <w:r>
        <w:rPr>
          <w:rFonts w:ascii="Courier New" w:cs="Courier New" w:eastAsia="Courier New" w:hAnsi="Courier New"/>
          <w:sz w:val="18"/>
          <w:szCs w:val="18"/>
          <w:color w:val="auto"/>
        </w:rPr>
        <w:t>Inc. and Sphere Drake Holdings</w:t>
      </w:r>
    </w:p>
    <w:p>
      <w:pPr>
        <w:ind w:left="2540"/>
        <w:spacing w:after="0" w:line="238" w:lineRule="auto"/>
        <w:rPr>
          <w:sz w:val="20"/>
          <w:szCs w:val="20"/>
          <w:color w:val="auto"/>
        </w:rPr>
      </w:pPr>
      <w:r>
        <w:rPr>
          <w:rFonts w:ascii="Courier New" w:cs="Courier New" w:eastAsia="Courier New" w:hAnsi="Courier New"/>
          <w:sz w:val="18"/>
          <w:szCs w:val="18"/>
          <w:color w:val="auto"/>
        </w:rPr>
        <w:t>Limited; Chairman, Centre</w:t>
      </w:r>
    </w:p>
    <w:p>
      <w:pPr>
        <w:ind w:left="2540"/>
        <w:spacing w:after="0"/>
        <w:rPr>
          <w:sz w:val="20"/>
          <w:szCs w:val="20"/>
          <w:color w:val="auto"/>
        </w:rPr>
      </w:pPr>
      <w:r>
        <w:rPr>
          <w:rFonts w:ascii="Courier New" w:cs="Courier New" w:eastAsia="Courier New" w:hAnsi="Courier New"/>
          <w:sz w:val="18"/>
          <w:szCs w:val="18"/>
          <w:color w:val="auto"/>
        </w:rPr>
        <w:t>College Board of Trustees</w:t>
      </w:r>
    </w:p>
    <w:p>
      <w:pPr>
        <w:sectPr>
          <w:pgSz w:w="11900" w:h="16838" w:orient="portrait"/>
          <w:cols w:equalWidth="0" w:num="1">
            <w:col w:w="10219"/>
          </w:cols>
          <w:pgMar w:left="240" w:top="520" w:right="1440"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Seth W. Hancock</w:t>
            </w:r>
          </w:p>
        </w:tc>
        <w:tc>
          <w:tcPr>
            <w:tcW w:w="342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Partner and Manager, Claiborne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142,825(4)</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45</w:t>
            </w: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Farm and President, Hancock</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1973</w:t>
            </w: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Farms, Inc. (Thoroughbred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breeding and farming); Vice</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President and Director, Clay</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Ward Agency, Inc. (Equine</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insurance); Director, Hopewell</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Company and Keeneland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Association, Incorporated and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Breeder's Cup Limited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(Executive Committee)</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Frank B. Hower, Jr.</w:t>
            </w:r>
          </w:p>
        </w:tc>
        <w:tc>
          <w:tcPr>
            <w:tcW w:w="342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Retired; Former Chairman,</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1,040(4)</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66</w:t>
            </w: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Liberty National Bancorp, Inc.</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1979</w:t>
            </w: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(Bank holding company) and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Liberty</w:t>
            </w:r>
          </w:p>
        </w:tc>
        <w:tc>
          <w:tcPr>
            <w:tcW w:w="10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National</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Bank &amp; Trust</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100" w:type="dxa"/>
            <w:vAlign w:val="bottom"/>
          </w:tcPr>
          <w:p>
            <w:pPr>
              <w:spacing w:after="0"/>
              <w:rPr>
                <w:sz w:val="17"/>
                <w:szCs w:val="17"/>
                <w:color w:val="auto"/>
              </w:rPr>
            </w:pPr>
          </w:p>
        </w:tc>
        <w:tc>
          <w:tcPr>
            <w:tcW w:w="2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  Louisville</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(until</w:t>
            </w:r>
          </w:p>
        </w:tc>
        <w:tc>
          <w:tcPr>
            <w:tcW w:w="116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February,</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1990);</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Director,</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Liberty</w:t>
            </w:r>
          </w:p>
        </w:tc>
        <w:tc>
          <w:tcPr>
            <w:tcW w:w="1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National</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Bancorp,</w:t>
            </w:r>
          </w:p>
        </w:tc>
        <w:tc>
          <w:tcPr>
            <w:tcW w:w="100" w:type="dxa"/>
            <w:vAlign w:val="bottom"/>
          </w:tcPr>
          <w:p>
            <w:pPr>
              <w:spacing w:after="0"/>
              <w:rPr>
                <w:sz w:val="17"/>
                <w:szCs w:val="17"/>
                <w:color w:val="auto"/>
              </w:rPr>
            </w:pP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Inc.,</w:t>
            </w:r>
          </w:p>
        </w:tc>
        <w:tc>
          <w:tcPr>
            <w:tcW w:w="1700" w:type="dxa"/>
            <w:vAlign w:val="bottom"/>
            <w:gridSpan w:val="2"/>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American</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Life and</w:t>
            </w:r>
          </w:p>
        </w:tc>
        <w:tc>
          <w:tcPr>
            <w:tcW w:w="100" w:type="dxa"/>
            <w:vAlign w:val="bottom"/>
          </w:tcPr>
          <w:p>
            <w:pPr>
              <w:spacing w:after="0"/>
              <w:rPr>
                <w:sz w:val="17"/>
                <w:szCs w:val="17"/>
                <w:color w:val="auto"/>
              </w:rPr>
            </w:pP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Accident</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Insurance</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Company,</w:t>
            </w:r>
          </w:p>
        </w:tc>
        <w:tc>
          <w:tcPr>
            <w:tcW w:w="100" w:type="dxa"/>
            <w:vAlign w:val="bottom"/>
          </w:tcPr>
          <w:p>
            <w:pPr>
              <w:spacing w:after="0"/>
              <w:rPr>
                <w:sz w:val="17"/>
                <w:szCs w:val="17"/>
                <w:color w:val="auto"/>
              </w:rPr>
            </w:pP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The</w:t>
            </w:r>
          </w:p>
        </w:tc>
        <w:tc>
          <w:tcPr>
            <w:tcW w:w="1700" w:type="dxa"/>
            <w:vAlign w:val="bottom"/>
            <w:gridSpan w:val="2"/>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Associated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Group,</w:t>
            </w:r>
          </w:p>
        </w:tc>
        <w:tc>
          <w:tcPr>
            <w:tcW w:w="10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Regional</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Airport</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Authority of Louisville and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10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4"/>
              </w:rPr>
              <w:t>Jefferson</w:t>
            </w:r>
          </w:p>
        </w:tc>
        <w:tc>
          <w:tcPr>
            <w:tcW w:w="10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County</w:t>
            </w:r>
          </w:p>
        </w:tc>
        <w:tc>
          <w:tcPr>
            <w:tcW w:w="1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Kentucky Historical Society;</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Member, Board of Trustees,</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Centre</w:t>
            </w:r>
          </w:p>
        </w:tc>
        <w:tc>
          <w:tcPr>
            <w:tcW w:w="10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College,</w:t>
            </w:r>
          </w:p>
        </w:tc>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J. Graham</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Brown</w:t>
            </w:r>
          </w:p>
        </w:tc>
        <w:tc>
          <w:tcPr>
            <w:tcW w:w="1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Foundation</w:t>
            </w:r>
          </w:p>
        </w:tc>
        <w:tc>
          <w:tcPr>
            <w:tcW w:w="1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University of Louisville</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W. Bruce Lunsford</w:t>
            </w:r>
          </w:p>
        </w:tc>
        <w:tc>
          <w:tcPr>
            <w:tcW w:w="342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Chairman, President and Chief</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9"/>
              </w:rPr>
              <w:t>100,030(4)</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2.6%</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47</w:t>
            </w: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8"/>
              </w:rPr>
              <w:t>Executive Officer, Vencor, Inc.</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Nominee for Director</w:t>
            </w: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(Intensive care hospitals and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nursing homes); Director,</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ResCare, Inc., National City</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Bank, Kentucky (Executive</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Committee), Kentucky Economic</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Development Corporation and</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Kentucky Country Day School;</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Member, Board of Trustees,</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Bellarmine College and Centre</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College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2440" w:type="dxa"/>
            <w:vAlign w:val="bottom"/>
          </w:tcPr>
          <w:p>
            <w:pPr>
              <w:spacing w:after="0"/>
              <w:rPr>
                <w:sz w:val="24"/>
                <w:szCs w:val="24"/>
                <w:color w:val="auto"/>
              </w:rPr>
            </w:pPr>
          </w:p>
        </w:tc>
        <w:tc>
          <w:tcPr>
            <w:tcW w:w="3420" w:type="dxa"/>
            <w:vAlign w:val="bottom"/>
            <w:gridSpan w:val="5"/>
          </w:tcPr>
          <w:p>
            <w:pPr>
              <w:ind w:left="100"/>
              <w:spacing w:after="0"/>
              <w:rPr>
                <w:sz w:val="20"/>
                <w:szCs w:val="20"/>
                <w:color w:val="auto"/>
              </w:rPr>
            </w:pPr>
            <w:r>
              <w:rPr>
                <w:rFonts w:ascii="Courier New" w:cs="Courier New" w:eastAsia="Courier New" w:hAnsi="Courier New"/>
                <w:sz w:val="18"/>
                <w:szCs w:val="18"/>
                <w:color w:val="auto"/>
                <w:w w:val="98"/>
              </w:rPr>
              <w:t>CLASS I - TERM EXPIRING IN 1997</w:t>
            </w: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G. Watts Humphrey, Jr.</w:t>
            </w:r>
          </w:p>
        </w:tc>
        <w:tc>
          <w:tcPr>
            <w:tcW w:w="3420" w:type="dxa"/>
            <w:vAlign w:val="bottom"/>
            <w:gridSpan w:val="5"/>
          </w:tcPr>
          <w:p>
            <w:pPr>
              <w:ind w:left="100"/>
              <w:spacing w:after="0"/>
              <w:rPr>
                <w:sz w:val="20"/>
                <w:szCs w:val="20"/>
                <w:color w:val="auto"/>
              </w:rPr>
            </w:pPr>
            <w:r>
              <w:rPr>
                <w:rFonts w:ascii="Courier New" w:cs="Courier New" w:eastAsia="Courier New" w:hAnsi="Courier New"/>
                <w:sz w:val="18"/>
                <w:szCs w:val="18"/>
                <w:color w:val="auto"/>
              </w:rPr>
              <w:t>President, GWH Holdings</w:t>
            </w:r>
          </w:p>
        </w:tc>
        <w:tc>
          <w:tcPr>
            <w:tcW w:w="13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w:t>
            </w: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50</w:t>
            </w: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(Private investment company);</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Nominee for Director</w:t>
            </w: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Chief Executive Officer, The</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Conair Group, Inc., Metaltech,</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440" w:type="dxa"/>
            <w:vAlign w:val="bottom"/>
          </w:tcPr>
          <w:p>
            <w:pPr>
              <w:spacing w:after="0"/>
              <w:rPr>
                <w:sz w:val="17"/>
                <w:szCs w:val="17"/>
                <w:color w:val="auto"/>
              </w:rPr>
            </w:pPr>
          </w:p>
        </w:tc>
        <w:tc>
          <w:tcPr>
            <w:tcW w:w="34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Nextech and Smith-Steelite;</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ind w:left="2540"/>
        <w:spacing w:after="0" w:line="238" w:lineRule="auto"/>
        <w:rPr>
          <w:sz w:val="20"/>
          <w:szCs w:val="20"/>
          <w:color w:val="auto"/>
        </w:rPr>
      </w:pPr>
      <w:r>
        <w:rPr>
          <w:rFonts w:ascii="Courier New" w:cs="Courier New" w:eastAsia="Courier New" w:hAnsi="Courier New"/>
          <w:sz w:val="18"/>
          <w:szCs w:val="18"/>
          <w:color w:val="auto"/>
        </w:rPr>
        <w:t>Deputy Chairman - Fourth</w:t>
      </w:r>
    </w:p>
    <w:p>
      <w:pPr>
        <w:ind w:left="2540"/>
        <w:spacing w:after="0"/>
        <w:rPr>
          <w:sz w:val="20"/>
          <w:szCs w:val="20"/>
          <w:color w:val="auto"/>
        </w:rPr>
      </w:pPr>
      <w:r>
        <w:rPr>
          <w:rFonts w:ascii="Courier New" w:cs="Courier New" w:eastAsia="Courier New" w:hAnsi="Courier New"/>
          <w:sz w:val="18"/>
          <w:szCs w:val="18"/>
          <w:color w:val="auto"/>
        </w:rPr>
        <w:t>District, Federal Reserve Bank</w:t>
      </w:r>
    </w:p>
    <w:p>
      <w:pPr>
        <w:ind w:left="2540"/>
        <w:spacing w:after="0" w:line="237" w:lineRule="auto"/>
        <w:rPr>
          <w:sz w:val="20"/>
          <w:szCs w:val="20"/>
          <w:color w:val="auto"/>
        </w:rPr>
      </w:pPr>
      <w:r>
        <w:rPr>
          <w:rFonts w:ascii="Courier New" w:cs="Courier New" w:eastAsia="Courier New" w:hAnsi="Courier New"/>
          <w:sz w:val="18"/>
          <w:szCs w:val="18"/>
          <w:color w:val="auto"/>
        </w:rPr>
        <w:t>of Cleveland; Chairman,</w:t>
      </w:r>
    </w:p>
    <w:p>
      <w:pPr>
        <w:ind w:left="2540"/>
        <w:spacing w:after="0" w:line="238" w:lineRule="auto"/>
        <w:rPr>
          <w:sz w:val="20"/>
          <w:szCs w:val="20"/>
          <w:color w:val="auto"/>
        </w:rPr>
      </w:pPr>
      <w:r>
        <w:rPr>
          <w:rFonts w:ascii="Courier New" w:cs="Courier New" w:eastAsia="Courier New" w:hAnsi="Courier New"/>
          <w:sz w:val="18"/>
          <w:szCs w:val="18"/>
          <w:color w:val="auto"/>
        </w:rPr>
        <w:t>The Society of Plastics</w:t>
      </w:r>
    </w:p>
    <w:p>
      <w:pPr>
        <w:ind w:left="2540"/>
        <w:spacing w:after="0"/>
        <w:rPr>
          <w:sz w:val="20"/>
          <w:szCs w:val="20"/>
          <w:color w:val="auto"/>
        </w:rPr>
      </w:pPr>
      <w:r>
        <w:rPr>
          <w:rFonts w:ascii="Courier New" w:cs="Courier New" w:eastAsia="Courier New" w:hAnsi="Courier New"/>
          <w:sz w:val="18"/>
          <w:szCs w:val="18"/>
          <w:color w:val="auto"/>
        </w:rPr>
        <w:t>Industry, Inc. and The</w:t>
      </w:r>
    </w:p>
    <w:p>
      <w:pPr>
        <w:ind w:left="2540"/>
        <w:spacing w:after="0" w:line="237" w:lineRule="auto"/>
        <w:rPr>
          <w:sz w:val="20"/>
          <w:szCs w:val="20"/>
          <w:color w:val="auto"/>
        </w:rPr>
      </w:pPr>
      <w:r>
        <w:rPr>
          <w:rFonts w:ascii="Courier New" w:cs="Courier New" w:eastAsia="Courier New" w:hAnsi="Courier New"/>
          <w:sz w:val="18"/>
          <w:szCs w:val="18"/>
          <w:color w:val="auto"/>
        </w:rPr>
        <w:t>Blood-Horse, Inc.; Director,</w:t>
      </w:r>
    </w:p>
    <w:p>
      <w:pPr>
        <w:ind w:left="2540"/>
        <w:spacing w:after="0"/>
        <w:rPr>
          <w:sz w:val="20"/>
          <w:szCs w:val="20"/>
          <w:color w:val="auto"/>
        </w:rPr>
      </w:pPr>
      <w:r>
        <w:rPr>
          <w:rFonts w:ascii="Courier New" w:cs="Courier New" w:eastAsia="Courier New" w:hAnsi="Courier New"/>
          <w:sz w:val="18"/>
          <w:szCs w:val="18"/>
          <w:color w:val="auto"/>
        </w:rPr>
        <w:t>Keeneland Association,</w:t>
      </w:r>
    </w:p>
    <w:p>
      <w:pPr>
        <w:ind w:left="2540"/>
        <w:spacing w:after="0" w:line="237" w:lineRule="auto"/>
        <w:rPr>
          <w:sz w:val="20"/>
          <w:szCs w:val="20"/>
          <w:color w:val="auto"/>
        </w:rPr>
      </w:pPr>
      <w:r>
        <w:rPr>
          <w:rFonts w:ascii="Courier New" w:cs="Courier New" w:eastAsia="Courier New" w:hAnsi="Courier New"/>
          <w:sz w:val="18"/>
          <w:szCs w:val="18"/>
          <w:color w:val="auto"/>
        </w:rPr>
        <w:t>Incorporated</w:t>
      </w:r>
    </w:p>
    <w:p>
      <w:pPr>
        <w:sectPr>
          <w:pgSz w:w="11900" w:h="16838" w:orient="portrait"/>
          <w:cols w:equalWidth="0" w:num="1">
            <w:col w:w="10219"/>
          </w:cols>
          <w:pgMar w:left="240" w:top="717" w:right="1440" w:bottom="1440" w:gutter="0" w:footer="0" w:header="0"/>
        </w:sectPr>
      </w:pPr>
    </w:p>
    <w:bookmarkStart w:id="9" w:name="page10"/>
    <w:bookmarkEnd w:id="9"/>
    <w:p>
      <w:pPr>
        <w:ind w:left="2640"/>
        <w:spacing w:after="0"/>
        <w:rPr>
          <w:sz w:val="20"/>
          <w:szCs w:val="20"/>
          <w:color w:val="auto"/>
        </w:rPr>
      </w:pPr>
      <w:r>
        <w:rPr>
          <w:rFonts w:ascii="Courier New" w:cs="Courier New" w:eastAsia="Courier New" w:hAnsi="Courier New"/>
          <w:sz w:val="16"/>
          <w:szCs w:val="16"/>
          <w:color w:val="auto"/>
        </w:rPr>
        <w:t>CLASS III - TERM EXPIRING IN 1996</w:t>
      </w:r>
    </w:p>
    <w:p>
      <w:pPr>
        <w:sectPr>
          <w:pgSz w:w="11900" w:h="16838" w:orient="portrait"/>
          <w:cols w:equalWidth="0" w:num="1">
            <w:col w:w="10219"/>
          </w:cols>
          <w:pgMar w:left="240" w:top="1128"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H. Meeker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29,437(4)(5)</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16" w:lineRule="exact"/>
        <w:rPr>
          <w:sz w:val="20"/>
          <w:szCs w:val="20"/>
          <w:color w:val="auto"/>
        </w:rPr>
      </w:pPr>
    </w:p>
    <w:p>
      <w:pPr>
        <w:sectPr>
          <w:pgSz w:w="11900" w:h="16838" w:orient="portrait"/>
          <w:cols w:equalWidth="0" w:num="4">
            <w:col w:w="1820" w:space="720"/>
            <w:col w:w="3060" w:space="420"/>
            <w:col w:w="1260" w:space="320"/>
            <w:col w:w="261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Officer of the Company;</w:t>
      </w:r>
    </w:p>
    <w:p>
      <w:pPr>
        <w:spacing w:after="0" w:line="20" w:lineRule="exact"/>
        <w:rPr>
          <w:sz w:val="20"/>
          <w:szCs w:val="20"/>
          <w:color w:val="auto"/>
        </w:rPr>
      </w:pPr>
    </w:p>
    <w:p>
      <w:pPr>
        <w:sectPr>
          <w:pgSz w:w="11900" w:h="16838" w:orient="portrait"/>
          <w:cols w:equalWidth="0" w:num="2">
            <w:col w:w="1820" w:space="720"/>
            <w:col w:w="767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Nominee for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Thoroughbred Racing</w:t>
      </w:r>
    </w:p>
    <w:p>
      <w:pPr>
        <w:spacing w:after="0" w:line="21" w:lineRule="exact"/>
        <w:rPr>
          <w:sz w:val="20"/>
          <w:szCs w:val="20"/>
          <w:color w:val="auto"/>
        </w:rPr>
      </w:pPr>
    </w:p>
    <w:p>
      <w:pPr>
        <w:sectPr>
          <w:pgSz w:w="11900" w:h="16838" w:orient="portrait"/>
          <w:cols w:equalWidth="0" w:num="2">
            <w:col w:w="2220" w:space="320"/>
            <w:col w:w="767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President and Chief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Association of North America,</w:t>
      </w:r>
    </w:p>
    <w:p>
      <w:pPr>
        <w:spacing w:after="0" w:line="21" w:lineRule="exact"/>
        <w:rPr>
          <w:sz w:val="20"/>
          <w:szCs w:val="20"/>
          <w:color w:val="auto"/>
        </w:rPr>
      </w:pPr>
    </w:p>
    <w:p>
      <w:pPr>
        <w:sectPr>
          <w:pgSz w:w="11900" w:h="16838" w:orient="portrait"/>
          <w:cols w:equalWidth="0" w:num="2">
            <w:col w:w="2000" w:space="540"/>
            <w:col w:w="767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Inc. (Executive Committee),</w:t>
      </w:r>
    </w:p>
    <w:p>
      <w:pPr>
        <w:spacing w:after="0" w:line="21" w:lineRule="exact"/>
        <w:rPr>
          <w:sz w:val="20"/>
          <w:szCs w:val="20"/>
          <w:color w:val="auto"/>
        </w:rPr>
      </w:pPr>
    </w:p>
    <w:p>
      <w:pPr>
        <w:sectPr>
          <w:pgSz w:w="11900" w:h="16838" w:orient="portrait"/>
          <w:cols w:equalWidth="0" w:num="2">
            <w:col w:w="1820" w:space="720"/>
            <w:col w:w="767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since 1984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Equibase Company, PNC Bank,</w:t>
      </w:r>
    </w:p>
    <w:p>
      <w:pPr>
        <w:spacing w:after="0" w:line="21" w:lineRule="exact"/>
        <w:rPr>
          <w:sz w:val="20"/>
          <w:szCs w:val="20"/>
          <w:color w:val="auto"/>
        </w:rPr>
      </w:pPr>
    </w:p>
    <w:p>
      <w:pPr>
        <w:sectPr>
          <w:pgSz w:w="11900" w:h="16838" w:orient="portrait"/>
          <w:cols w:equalWidth="0" w:num="2">
            <w:col w:w="1820" w:space="720"/>
            <w:col w:w="7679"/>
          </w:cols>
          <w:pgMar w:left="240" w:top="1128"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6"/>
          <w:szCs w:val="16"/>
          <w:color w:val="auto"/>
        </w:rPr>
        <w:t>Kentucky, Inc. (Chairman, Audit</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Committee), Bell South</w:t>
      </w:r>
    </w:p>
    <w:p>
      <w:pPr>
        <w:ind w:left="2540"/>
        <w:spacing w:after="0" w:line="238" w:lineRule="auto"/>
        <w:rPr>
          <w:sz w:val="20"/>
          <w:szCs w:val="20"/>
          <w:color w:val="auto"/>
        </w:rPr>
      </w:pPr>
      <w:r>
        <w:rPr>
          <w:rFonts w:ascii="Courier New" w:cs="Courier New" w:eastAsia="Courier New" w:hAnsi="Courier New"/>
          <w:sz w:val="18"/>
          <w:szCs w:val="18"/>
          <w:color w:val="auto"/>
        </w:rPr>
        <w:t>Telecommunications, Inc. (Vice</w:t>
      </w:r>
    </w:p>
    <w:p>
      <w:pPr>
        <w:sectPr>
          <w:pgSz w:w="11900" w:h="16838" w:orient="portrait"/>
          <w:cols w:equalWidth="0" w:num="1">
            <w:col w:w="10219"/>
          </w:cols>
          <w:pgMar w:left="240" w:top="1128"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8"/>
          <w:szCs w:val="18"/>
          <w:color w:val="auto"/>
        </w:rPr>
        <w:t>Chairman, Executive Committee)</w:t>
      </w:r>
    </w:p>
    <w:p>
      <w:pPr>
        <w:ind w:left="2540"/>
        <w:spacing w:after="0" w:line="237" w:lineRule="auto"/>
        <w:rPr>
          <w:sz w:val="20"/>
          <w:szCs w:val="20"/>
          <w:color w:val="auto"/>
        </w:rPr>
      </w:pPr>
      <w:r>
        <w:rPr>
          <w:rFonts w:ascii="Courier New" w:cs="Courier New" w:eastAsia="Courier New" w:hAnsi="Courier New"/>
          <w:sz w:val="18"/>
          <w:szCs w:val="18"/>
          <w:color w:val="auto"/>
        </w:rPr>
        <w:t>and Alliant Health Systems,</w:t>
      </w:r>
    </w:p>
    <w:p>
      <w:pPr>
        <w:ind w:left="2540"/>
        <w:spacing w:after="0" w:line="238" w:lineRule="auto"/>
        <w:rPr>
          <w:sz w:val="20"/>
          <w:szCs w:val="20"/>
          <w:color w:val="auto"/>
        </w:rPr>
      </w:pPr>
      <w:r>
        <w:rPr>
          <w:rFonts w:ascii="Courier New" w:cs="Courier New" w:eastAsia="Courier New" w:hAnsi="Courier New"/>
          <w:sz w:val="18"/>
          <w:szCs w:val="18"/>
          <w:color w:val="auto"/>
        </w:rPr>
        <w:t>Inc. (Executive Committee)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0.1%</w:t>
      </w:r>
    </w:p>
    <w:p>
      <w:pPr>
        <w:spacing w:after="0" w:line="207" w:lineRule="exact"/>
        <w:rPr>
          <w:sz w:val="20"/>
          <w:szCs w:val="20"/>
          <w:color w:val="auto"/>
        </w:rPr>
      </w:pPr>
    </w:p>
    <w:p>
      <w:pPr>
        <w:ind w:left="640" w:right="177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indicated, there has been no change in principal occupation or employment during the past five years.</w:t>
      </w:r>
    </w:p>
    <w:p>
      <w:pPr>
        <w:spacing w:after="0" w:line="208" w:lineRule="exact"/>
        <w:rPr>
          <w:rFonts w:ascii="Courier New" w:cs="Courier New" w:eastAsia="Courier New" w:hAnsi="Courier New"/>
          <w:sz w:val="18"/>
          <w:szCs w:val="18"/>
          <w:color w:val="auto"/>
        </w:rPr>
      </w:pPr>
    </w:p>
    <w:p>
      <w:pPr>
        <w:jc w:val="both"/>
        <w:ind w:left="640" w:right="1779" w:hanging="632"/>
        <w:spacing w:after="0" w:line="279" w:lineRule="auto"/>
        <w:tabs>
          <w:tab w:leader="none" w:pos="6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Directorships in companies registered pursuant to the Securities Exchange Act of 1934 or the Investment Company Act of 1940 and, in the case of certain nominees, other directorships considered significant by them.</w:t>
      </w:r>
    </w:p>
    <w:p>
      <w:pPr>
        <w:spacing w:after="0" w:line="178" w:lineRule="exact"/>
        <w:rPr>
          <w:rFonts w:ascii="Courier New" w:cs="Courier New" w:eastAsia="Courier New" w:hAnsi="Courier New"/>
          <w:sz w:val="16"/>
          <w:szCs w:val="16"/>
          <w:color w:val="auto"/>
        </w:rPr>
      </w:pPr>
    </w:p>
    <w:p>
      <w:pPr>
        <w:jc w:val="both"/>
        <w:ind w:left="640" w:right="1779" w:hanging="632"/>
        <w:spacing w:after="0" w:line="238"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nominee shares voting or investment power of his beneficially owned shares, except that Mr. Clay and Mr. Hancock share with others the voting and investment power with respect to 43,630 shares and 106,325 shares, respectively, and Mr. Lunsford shares investment power with respect to 10,000 shares. Of the total shares listed, Mr. Clay specifically disclaims beneficial ownership of 10,950 shares owned by the Agnes Clay Pringle Trust of which he is the trustee, and Mr. Hancock specifically disclaims beneficial ownership of 79,200 shares owned by the A.B. Hancock Jr. Marital Trust of which he is the trustee, of 9,030 shares owned by the Waddell Walker Hancock II Trust of which he is a trustee, of 9,030 shares owned by the Nancy Clay Hancock Trust of which he is a trustee and of 6,043.33 shares held by the ABC Partnership of which he is a general partner.</w:t>
      </w:r>
    </w:p>
    <w:p>
      <w:pPr>
        <w:spacing w:after="0" w:line="207" w:lineRule="exact"/>
        <w:rPr>
          <w:rFonts w:ascii="Courier New" w:cs="Courier New" w:eastAsia="Courier New" w:hAnsi="Courier New"/>
          <w:sz w:val="18"/>
          <w:szCs w:val="18"/>
          <w:color w:val="auto"/>
        </w:rPr>
      </w:pPr>
    </w:p>
    <w:p>
      <w:pPr>
        <w:jc w:val="both"/>
        <w:ind w:left="640" w:right="1779" w:hanging="632"/>
        <w:spacing w:after="0" w:line="236"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Messrs. Clay, Grissom, Hancock, Hower, Lunsford and Meeker are signatories to the Stockholder Agreement with respect to 46,630, 10,050, 142,825, 1,040, 100,030 and 29,437 shares, respectively.</w:t>
      </w:r>
    </w:p>
    <w:p>
      <w:pPr>
        <w:spacing w:after="0" w:line="1"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"Common Stock Owned by Certain Persons."</w:t>
      </w:r>
    </w:p>
    <w:p>
      <w:pPr>
        <w:spacing w:after="0" w:line="207" w:lineRule="exact"/>
        <w:rPr>
          <w:rFonts w:ascii="Courier New" w:cs="Courier New" w:eastAsia="Courier New" w:hAnsi="Courier New"/>
          <w:sz w:val="18"/>
          <w:szCs w:val="18"/>
          <w:color w:val="auto"/>
        </w:rPr>
      </w:pPr>
    </w:p>
    <w:p>
      <w:pPr>
        <w:ind w:left="640" w:right="177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717 shares issuable under the Company's Incentive Compensation Plan and 16,900 shares issuable under currently exercisable options.</w:t>
      </w:r>
    </w:p>
    <w:p>
      <w:pPr>
        <w:spacing w:after="0" w:line="200" w:lineRule="exact"/>
        <w:rPr>
          <w:sz w:val="20"/>
          <w:szCs w:val="20"/>
          <w:color w:val="auto"/>
        </w:rPr>
      </w:pPr>
    </w:p>
    <w:p>
      <w:pPr>
        <w:spacing w:after="0" w:line="211" w:lineRule="exact"/>
        <w:rPr>
          <w:sz w:val="20"/>
          <w:szCs w:val="20"/>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The Board of Directors has no reason to believe that any of the nominees will be unavailable to serve as a director. If any nominee should become unavailable before the Annual Meeting, the persons named in the enclosed Proxy, or their substitutes, reserve the right to vote for substitute nominees selected by the Board of Directors. In addition, if any shareholder(s) shall vote shares</w:t>
      </w:r>
    </w:p>
    <w:p>
      <w:pPr>
        <w:sectPr>
          <w:pgSz w:w="11900" w:h="16838" w:orient="portrait"/>
          <w:cols w:equalWidth="0" w:num="1">
            <w:col w:w="10219"/>
          </w:cols>
          <w:pgMar w:left="240" w:top="1128" w:right="1440" w:bottom="1440" w:gutter="0" w:footer="0" w:header="0"/>
          <w:type w:val="continuous"/>
        </w:sectPr>
      </w:pPr>
    </w:p>
    <w:bookmarkStart w:id="10" w:name="page11"/>
    <w:bookmarkEnd w:id="10"/>
    <w:p>
      <w:pPr>
        <w:jc w:val="both"/>
        <w:ind w:right="1779"/>
        <w:spacing w:after="0" w:line="237" w:lineRule="auto"/>
        <w:rPr>
          <w:sz w:val="20"/>
          <w:szCs w:val="20"/>
          <w:color w:val="auto"/>
        </w:rPr>
      </w:pPr>
      <w:r>
        <w:rPr>
          <w:rFonts w:ascii="Courier New" w:cs="Courier New" w:eastAsia="Courier New" w:hAnsi="Courier New"/>
          <w:sz w:val="18"/>
          <w:szCs w:val="18"/>
          <w:color w:val="auto"/>
        </w:rPr>
        <w:t>cumulatively or otherwise for the election of a director or directors other than the nominees named above, or substitute nominees, or for less than all of them, the persons named in the enclosed Proxy or their substitutes, or a majority of them, reserve the right to vote cumulatively for some number less than all of the nominees named above or any substitute nominees, and for such of the persons nominated as they may choose.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CONTINUING DIRECTORS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following table sets forth information relating to the Class I and Class III directors of the Company who will continue to serve as directors until the expiration of their respective terms of office, and the Directors Emeriti, and the beneficial ownership of Common Stock by such directors.</w:t>
      </w:r>
    </w:p>
    <w:p>
      <w:pPr>
        <w:spacing w:after="0" w:line="200" w:lineRule="exact"/>
        <w:rPr>
          <w:sz w:val="20"/>
          <w:szCs w:val="20"/>
          <w:color w:val="auto"/>
        </w:rPr>
      </w:pPr>
    </w:p>
    <w:p>
      <w:pPr>
        <w:spacing w:after="0" w:line="204"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COMMON STOCK OF</w:t>
      </w: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84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THE COMPANY</w:t>
            </w:r>
          </w:p>
        </w:tc>
      </w:tr>
      <w:tr>
        <w:trPr>
          <w:trHeight w:val="203"/>
        </w:trPr>
        <w:tc>
          <w:tcPr>
            <w:tcW w:w="2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 OWNED AS OF</w:t>
            </w:r>
          </w:p>
        </w:tc>
      </w:tr>
      <w:tr>
        <w:trPr>
          <w:trHeight w:val="203"/>
        </w:trPr>
        <w:tc>
          <w:tcPr>
            <w:tcW w:w="25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8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APRIL 1, 1995(3)</w:t>
            </w:r>
          </w:p>
        </w:tc>
      </w:tr>
      <w:tr>
        <w:trPr>
          <w:trHeight w:val="405"/>
        </w:trPr>
        <w:tc>
          <w:tcPr>
            <w:tcW w:w="2540" w:type="dxa"/>
            <w:vAlign w:val="bottom"/>
          </w:tcPr>
          <w:p>
            <w:pPr>
              <w:ind w:left="540"/>
              <w:spacing w:after="0"/>
              <w:rPr>
                <w:sz w:val="20"/>
                <w:szCs w:val="20"/>
                <w:color w:val="auto"/>
              </w:rPr>
            </w:pPr>
            <w:r>
              <w:rPr>
                <w:rFonts w:ascii="Courier New" w:cs="Courier New" w:eastAsia="Courier New" w:hAnsi="Courier New"/>
                <w:sz w:val="18"/>
                <w:szCs w:val="18"/>
                <w:color w:val="auto"/>
              </w:rPr>
              <w:t>NAME, AGE AND</w:t>
            </w:r>
          </w:p>
        </w:tc>
        <w:tc>
          <w:tcPr>
            <w:tcW w:w="3060" w:type="dxa"/>
            <w:vAlign w:val="bottom"/>
          </w:tcPr>
          <w:p>
            <w:pPr>
              <w:ind w:left="200"/>
              <w:spacing w:after="0"/>
              <w:rPr>
                <w:sz w:val="20"/>
                <w:szCs w:val="20"/>
                <w:color w:val="auto"/>
              </w:rPr>
            </w:pPr>
            <w:r>
              <w:rPr>
                <w:rFonts w:ascii="Courier New" w:cs="Courier New" w:eastAsia="Courier New" w:hAnsi="Courier New"/>
                <w:sz w:val="18"/>
                <w:szCs w:val="18"/>
                <w:color w:val="auto"/>
              </w:rPr>
              <w:t>PRINCIPAL OCCUPATION(1)</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POSITIONS WITH COMPANY</w:t>
            </w:r>
          </w:p>
        </w:tc>
        <w:tc>
          <w:tcPr>
            <w:tcW w:w="306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AND</w:t>
            </w:r>
          </w:p>
        </w:tc>
        <w:tc>
          <w:tcPr>
            <w:tcW w:w="13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AMOUNT</w:t>
            </w:r>
          </w:p>
        </w:tc>
        <w:tc>
          <w:tcPr>
            <w:tcW w:w="15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OF CLASS</w:t>
            </w:r>
          </w:p>
        </w:tc>
      </w:tr>
      <w:tr>
        <w:trPr>
          <w:trHeight w:val="203"/>
        </w:trPr>
        <w:tc>
          <w:tcPr>
            <w:tcW w:w="2540" w:type="dxa"/>
            <w:vAlign w:val="bottom"/>
          </w:tcPr>
          <w:p>
            <w:pPr>
              <w:spacing w:after="0"/>
              <w:rPr>
                <w:sz w:val="17"/>
                <w:szCs w:val="17"/>
                <w:color w:val="auto"/>
              </w:rPr>
            </w:pPr>
          </w:p>
        </w:tc>
        <w:tc>
          <w:tcPr>
            <w:tcW w:w="3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CERTAIN DIRECTORSHIPS(2)</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540" w:type="dxa"/>
            <w:vAlign w:val="bottom"/>
          </w:tcPr>
          <w:p>
            <w:pPr>
              <w:spacing w:after="0"/>
              <w:rPr>
                <w:sz w:val="24"/>
                <w:szCs w:val="24"/>
                <w:color w:val="auto"/>
              </w:rPr>
            </w:pPr>
          </w:p>
        </w:tc>
        <w:tc>
          <w:tcPr>
            <w:tcW w:w="43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CLASS I - TERMS EXPIRING IN 1997</w:t>
            </w:r>
          </w:p>
        </w:tc>
        <w:tc>
          <w:tcPr>
            <w:tcW w:w="1540" w:type="dxa"/>
            <w:vAlign w:val="bottom"/>
          </w:tcPr>
          <w:p>
            <w:pPr>
              <w:spacing w:after="0"/>
              <w:rPr>
                <w:sz w:val="24"/>
                <w:szCs w:val="24"/>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William S. Farish</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President, W.S. Farish &amp;</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25,280(4)</w:t>
            </w:r>
          </w:p>
        </w:tc>
        <w:tc>
          <w:tcPr>
            <w:tcW w:w="15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.7%</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56</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(Trust management</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1985;</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Owner, Lane's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End Farm; Director,</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since 1992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Breeder's Cup Limited and</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Keeneland Association,</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Vice</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and Steward of</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Jockey Club; Advisory</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Galveston-Houston Company,</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and Post Oak Bank;</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Ephraim</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McDowell Cancer Research</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Foundation</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Daniel M. Galbreath</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Chairman and Chief</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122,150</w:t>
            </w:r>
          </w:p>
        </w:tc>
        <w:tc>
          <w:tcPr>
            <w:tcW w:w="154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3.2%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66</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Officer, The</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1979</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Galbreath Company (Realtor</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builder); Director,</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Breeder's Cup Limited,</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Keeneland Association,</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and BCP</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Management, Inc.; General</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Partner of Borden</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Chemicals &amp; Plastics,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Limited Partnership;</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Owner, Darby Dan Farms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Arthur B. Modell</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President and Director,</w:t>
            </w:r>
          </w:p>
        </w:tc>
        <w:tc>
          <w:tcPr>
            <w:tcW w:w="13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1,000</w:t>
            </w:r>
          </w:p>
        </w:tc>
        <w:tc>
          <w:tcPr>
            <w:tcW w:w="15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69</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Cleveland Browns Football</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1985</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Inc.</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(Professional football</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team); Board of Trustees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President, Cleveland</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Clinic Foundation;</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 Lake Erie Radio</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ectPr>
          <w:pgSz w:w="11900" w:h="16838" w:orient="portrait"/>
          <w:cols w:equalWidth="0" w:num="1">
            <w:col w:w="10219"/>
          </w:cols>
          <w:pgMar w:left="240" w:top="520"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45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CLASS III - TERMS EXPIRING IN 1996</w:t>
            </w:r>
          </w:p>
        </w:tc>
        <w:tc>
          <w:tcPr>
            <w:tcW w:w="68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Charles W. Bidwill, Jr.</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President and General</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221,259(4)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5.8%</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66</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Manager, National Jockey</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1982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Club (Operator of</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Sportsman's Park</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Racetrack); Director,</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Orange Park Kennel Club,</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Associated Outdoors Clubs</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(Tampa Greyhound Track),</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Bayard Raceways and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Caterers of North Florida,</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Jacksonville Kennel Club,</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Big Shoulders Fund,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Archdiocese of Chicago,</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Link Unlimited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Carl F. Pollard</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Owner, Hermitage Farm</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73,040(4)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1.9%</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56</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beginning in 1994</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1985</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(Thoroughbred breeding);</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 and Chairman of</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Executive Committee,</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Columbia/HCA Healthcare</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Corporation; Former</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Columbia Healthcare</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Corporation; President and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Operating Officer</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(1991-March 1993) and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Senior Executive Vice</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(1984-1991),</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Humana Inc. (Hospitals and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health services);</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 National City</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Bank, Kentucky and Vestar,</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 President and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 Kentucky Derby</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Museum Corporation</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Darrell R. Wells (5)</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General Partner, Security</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232,930(4)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6.2%</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51</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Management Company</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1985</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(Investments); Director,</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First Security Trust</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ind w:left="2640"/>
        <w:spacing w:after="0" w:line="238" w:lineRule="auto"/>
        <w:rPr>
          <w:sz w:val="20"/>
          <w:szCs w:val="20"/>
          <w:color w:val="auto"/>
        </w:rPr>
      </w:pPr>
      <w:r>
        <w:rPr>
          <w:rFonts w:ascii="Courier New" w:cs="Courier New" w:eastAsia="Courier New" w:hAnsi="Courier New"/>
          <w:sz w:val="18"/>
          <w:szCs w:val="18"/>
          <w:color w:val="auto"/>
        </w:rPr>
        <w:t>Company, Shelby County</w:t>
      </w:r>
    </w:p>
    <w:p>
      <w:pPr>
        <w:ind w:left="2640"/>
        <w:spacing w:after="0"/>
        <w:rPr>
          <w:sz w:val="20"/>
          <w:szCs w:val="20"/>
          <w:color w:val="auto"/>
        </w:rPr>
      </w:pPr>
      <w:r>
        <w:rPr>
          <w:rFonts w:ascii="Courier New" w:cs="Courier New" w:eastAsia="Courier New" w:hAnsi="Courier New"/>
          <w:sz w:val="18"/>
          <w:szCs w:val="18"/>
          <w:color w:val="auto"/>
        </w:rPr>
        <w:t>Trust Bank, Commonwealth</w:t>
      </w:r>
    </w:p>
    <w:p>
      <w:pPr>
        <w:ind w:left="2640"/>
        <w:spacing w:after="0" w:line="237" w:lineRule="auto"/>
        <w:rPr>
          <w:sz w:val="20"/>
          <w:szCs w:val="20"/>
          <w:color w:val="auto"/>
        </w:rPr>
      </w:pPr>
      <w:r>
        <w:rPr>
          <w:rFonts w:ascii="Courier New" w:cs="Courier New" w:eastAsia="Courier New" w:hAnsi="Courier New"/>
          <w:sz w:val="18"/>
          <w:szCs w:val="18"/>
          <w:color w:val="auto"/>
        </w:rPr>
        <w:t>Bancshares, Citizens</w:t>
      </w:r>
    </w:p>
    <w:p>
      <w:pPr>
        <w:ind w:left="2640"/>
        <w:spacing w:after="0" w:line="238" w:lineRule="auto"/>
        <w:rPr>
          <w:sz w:val="20"/>
          <w:szCs w:val="20"/>
          <w:color w:val="auto"/>
        </w:rPr>
      </w:pPr>
      <w:r>
        <w:rPr>
          <w:rFonts w:ascii="Courier New" w:cs="Courier New" w:eastAsia="Courier New" w:hAnsi="Courier New"/>
          <w:sz w:val="18"/>
          <w:szCs w:val="18"/>
          <w:color w:val="auto"/>
        </w:rPr>
        <w:t>Financial Corporation,</w:t>
      </w:r>
    </w:p>
    <w:p>
      <w:pPr>
        <w:ind w:left="2640"/>
        <w:spacing w:after="0"/>
        <w:rPr>
          <w:sz w:val="20"/>
          <w:szCs w:val="20"/>
          <w:color w:val="auto"/>
        </w:rPr>
      </w:pPr>
      <w:r>
        <w:rPr>
          <w:rFonts w:ascii="Courier New" w:cs="Courier New" w:eastAsia="Courier New" w:hAnsi="Courier New"/>
          <w:sz w:val="18"/>
          <w:szCs w:val="18"/>
          <w:color w:val="auto"/>
        </w:rPr>
        <w:t>Commonwealth Bank &amp; Trust</w:t>
      </w:r>
    </w:p>
    <w:p>
      <w:pPr>
        <w:ind w:left="2640"/>
        <w:spacing w:after="0" w:line="237" w:lineRule="auto"/>
        <w:rPr>
          <w:sz w:val="20"/>
          <w:szCs w:val="20"/>
          <w:color w:val="auto"/>
        </w:rPr>
      </w:pPr>
      <w:r>
        <w:rPr>
          <w:rFonts w:ascii="Courier New" w:cs="Courier New" w:eastAsia="Courier New" w:hAnsi="Courier New"/>
          <w:sz w:val="18"/>
          <w:szCs w:val="18"/>
          <w:color w:val="auto"/>
        </w:rPr>
        <w:t>Company and Jundt Growth</w:t>
      </w:r>
    </w:p>
    <w:p>
      <w:pPr>
        <w:ind w:left="2640"/>
        <w:spacing w:after="0"/>
        <w:rPr>
          <w:sz w:val="20"/>
          <w:szCs w:val="20"/>
          <w:color w:val="auto"/>
        </w:rPr>
      </w:pPr>
      <w:r>
        <w:rPr>
          <w:rFonts w:ascii="Courier New" w:cs="Courier New" w:eastAsia="Courier New" w:hAnsi="Courier New"/>
          <w:sz w:val="18"/>
          <w:szCs w:val="18"/>
          <w:color w:val="auto"/>
        </w:rPr>
        <w:t>Fund</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3060" w:type="dxa"/>
            <w:vAlign w:val="bottom"/>
          </w:tcPr>
          <w:p>
            <w:pPr>
              <w:ind w:left="420"/>
              <w:spacing w:after="0"/>
              <w:rPr>
                <w:sz w:val="20"/>
                <w:szCs w:val="20"/>
                <w:color w:val="auto"/>
              </w:rPr>
            </w:pPr>
            <w:r>
              <w:rPr>
                <w:rFonts w:ascii="Courier New" w:cs="Courier New" w:eastAsia="Courier New" w:hAnsi="Courier New"/>
                <w:sz w:val="18"/>
                <w:szCs w:val="18"/>
                <w:color w:val="auto"/>
              </w:rPr>
              <w:t>DIRECTORS EMERITI (6)</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John W. Barr, III</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Retired; Former Chairman,</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2,000(4)</w:t>
            </w:r>
          </w:p>
        </w:tc>
        <w:tc>
          <w:tcPr>
            <w:tcW w:w="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74</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National City Bank,</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from 1979 to</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Kentucky (Bank holding</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 Director Emeritus</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Director,</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since 1993</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Kitchen Kompact Company;</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 Speed Museum,</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Cave Hill Cemetery, Boy</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Scouts and American</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Printing House for the</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Blind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Louis J. Herrmann, Jr.</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Owner, Louis Herrmann Auto</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50,265(4)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75</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Consultant Incorporated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since 1968;</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(Automobile sales)</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Secretary-</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 Kentucky Mutual</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from 1985 to</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Life Insurance Company</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1986; Director Emeritus</w:t>
            </w:r>
          </w:p>
        </w:tc>
        <w:tc>
          <w:tcPr>
            <w:tcW w:w="3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since 1994</w:t>
            </w:r>
          </w:p>
        </w:tc>
        <w:tc>
          <w:tcPr>
            <w:tcW w:w="3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Stanley F. Hugenberg,</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President, Jackantom Sales</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3,670(4)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77</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(Manufacturers'</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from 1982 to</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representative); Member,</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Board of Trustees, J.</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Emeritus since</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Graham Brown Foundation;</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 Kentucky Derby</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rPr>
                <w:sz w:val="17"/>
                <w:szCs w:val="17"/>
                <w:color w:val="auto"/>
              </w:rPr>
            </w:pP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Museum Corporation</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Y. Peyton Wells, Jr.(5)</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Retired; Former President</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17,650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84</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Director, Shelby</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from 1967 to</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County Trust Bank</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1985;</w:t>
            </w:r>
          </w:p>
        </w:tc>
        <w:tc>
          <w:tcPr>
            <w:tcW w:w="3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 from</w:t>
            </w:r>
          </w:p>
        </w:tc>
        <w:tc>
          <w:tcPr>
            <w:tcW w:w="3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1980 to 1985;</w:t>
            </w:r>
          </w:p>
        </w:tc>
        <w:tc>
          <w:tcPr>
            <w:tcW w:w="3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Emeritus since</w:t>
            </w:r>
          </w:p>
        </w:tc>
        <w:tc>
          <w:tcPr>
            <w:tcW w:w="3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1985</w:t>
            </w:r>
          </w:p>
        </w:tc>
        <w:tc>
          <w:tcPr>
            <w:tcW w:w="3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William T. Young</w:t>
            </w:r>
          </w:p>
        </w:tc>
        <w:tc>
          <w:tcPr>
            <w:tcW w:w="3060" w:type="dxa"/>
            <w:vAlign w:val="bottom"/>
          </w:tcPr>
          <w:p>
            <w:pPr>
              <w:ind w:left="100"/>
              <w:spacing w:after="0"/>
              <w:rPr>
                <w:sz w:val="20"/>
                <w:szCs w:val="20"/>
                <w:color w:val="auto"/>
              </w:rPr>
            </w:pPr>
            <w:r>
              <w:rPr>
                <w:rFonts w:ascii="Courier New" w:cs="Courier New" w:eastAsia="Courier New" w:hAnsi="Courier New"/>
                <w:sz w:val="18"/>
                <w:szCs w:val="18"/>
                <w:color w:val="auto"/>
              </w:rPr>
              <w:t>Chairman, W.T. Young, Inc.</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114,660(4)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77</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(Warehousing and</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from 1985 to</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thoroughbred horses);</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 Columbia/HCA</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 Emeritus since</w:t>
            </w:r>
          </w:p>
        </w:tc>
        <w:tc>
          <w:tcPr>
            <w:tcW w:w="3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Healthcare Corporation</w:t>
            </w: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3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0.1%</w:t>
      </w:r>
    </w:p>
    <w:p>
      <w:pPr>
        <w:spacing w:after="0" w:line="200" w:lineRule="exact"/>
        <w:rPr>
          <w:sz w:val="20"/>
          <w:szCs w:val="20"/>
          <w:color w:val="auto"/>
        </w:rPr>
      </w:pPr>
    </w:p>
    <w:p>
      <w:pPr>
        <w:spacing w:after="0" w:line="209" w:lineRule="exact"/>
        <w:rPr>
          <w:sz w:val="20"/>
          <w:szCs w:val="20"/>
          <w:color w:val="auto"/>
        </w:rPr>
      </w:pPr>
    </w:p>
    <w:p>
      <w:pPr>
        <w:ind w:left="640" w:right="177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indicated, there has been no change in principal occupation or employment during the past five years.</w:t>
      </w:r>
    </w:p>
    <w:p>
      <w:pPr>
        <w:spacing w:after="0" w:line="208" w:lineRule="exact"/>
        <w:rPr>
          <w:rFonts w:ascii="Courier New" w:cs="Courier New" w:eastAsia="Courier New" w:hAnsi="Courier New"/>
          <w:sz w:val="18"/>
          <w:szCs w:val="18"/>
          <w:color w:val="auto"/>
        </w:rPr>
      </w:pPr>
    </w:p>
    <w:p>
      <w:pPr>
        <w:jc w:val="both"/>
        <w:ind w:left="640" w:right="1779" w:hanging="632"/>
        <w:spacing w:after="0" w:line="279"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Directorships in companies registered pursuant to the Securities Exchange Act of 1934 or the Investment Company Act of 1940 and, in the case of certain directors, other directorships considered significant by them.</w:t>
      </w:r>
    </w:p>
    <w:p>
      <w:pPr>
        <w:spacing w:after="0" w:line="178" w:lineRule="exact"/>
        <w:rPr>
          <w:rFonts w:ascii="Courier New" w:cs="Courier New" w:eastAsia="Courier New" w:hAnsi="Courier New"/>
          <w:sz w:val="16"/>
          <w:szCs w:val="16"/>
          <w:color w:val="auto"/>
        </w:rPr>
      </w:pPr>
    </w:p>
    <w:p>
      <w:pPr>
        <w:jc w:val="both"/>
        <w:ind w:left="640" w:right="1779" w:hanging="632"/>
        <w:spacing w:after="0" w:line="23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director shares voting or investment power of his beneficially owned shares, except that Messrs. Bidwill, Galbreath, Herrmann and Wells share with others the voting and investment power with respect to 2,919, 27,377, 10,200 and 232,930 shares, respectively. Of the total shares listed above, Mr. Wells disclaims beneficial ownership of 22,400 shares held by The Wells Foundation, Inc. of which he is a trustee and of 135,791.90 shares held by The Wells Family Partnership of which he is the Managing General Partner.</w:t>
      </w:r>
    </w:p>
    <w:p>
      <w:pPr>
        <w:spacing w:after="0" w:line="212" w:lineRule="exact"/>
        <w:rPr>
          <w:rFonts w:ascii="Courier New" w:cs="Courier New" w:eastAsia="Courier New" w:hAnsi="Courier New"/>
          <w:sz w:val="18"/>
          <w:szCs w:val="18"/>
          <w:color w:val="auto"/>
        </w:rPr>
      </w:pPr>
    </w:p>
    <w:p>
      <w:pPr>
        <w:jc w:val="both"/>
        <w:ind w:left="640" w:right="1779" w:hanging="632"/>
        <w:spacing w:after="0" w:line="275"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Messrs. Farish, Bidwill, Pollard, Darrell Wells, Herrmann, Barr, Hugenberg and Young are signatories to the Stockholder Agreement with respect to 25,280, 222,259 (including shares acquired after April 1, 1995), 73,040, 232,930, 40,065, 2,000, 3,670 and 114,660 shares, respectively.</w:t>
      </w:r>
    </w:p>
    <w:p>
      <w:pPr>
        <w:spacing w:after="0" w:line="176"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Darrell R. Wells is the nephew of Y. Peyton Wells, Jr.</w:t>
      </w:r>
    </w:p>
    <w:p>
      <w:pPr>
        <w:spacing w:after="0" w:line="206" w:lineRule="exact"/>
        <w:rPr>
          <w:rFonts w:ascii="Courier New" w:cs="Courier New" w:eastAsia="Courier New" w:hAnsi="Courier New"/>
          <w:sz w:val="18"/>
          <w:szCs w:val="18"/>
          <w:color w:val="auto"/>
        </w:rPr>
      </w:pPr>
    </w:p>
    <w:p>
      <w:pPr>
        <w:jc w:val="both"/>
        <w:ind w:left="640" w:right="1779" w:hanging="632"/>
        <w:spacing w:after="0" w:line="272" w:lineRule="auto"/>
        <w:tabs>
          <w:tab w:leader="none" w:pos="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Emeriti are entitled to attend meetings of the Board of Directors but do not have a vote on matters presented to the Board. The Bylaws provide that once a director is 72 years of age, he may not stand for re-election but shall assume Director Emeriti status as of the annual meeting following his current term of service as a director. The Chairman of the Board may continue to serve as a director notwithstanding this</w:t>
      </w:r>
    </w:p>
    <w:p>
      <w:pPr>
        <w:sectPr>
          <w:pgSz w:w="11900" w:h="16838" w:orient="portrait"/>
          <w:cols w:equalWidth="0" w:num="1">
            <w:col w:w="10219"/>
          </w:cols>
          <w:pgMar w:left="240" w:top="717"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provision.</w:t>
      </w:r>
    </w:p>
    <w:p>
      <w:pPr>
        <w:sectPr>
          <w:pgSz w:w="11900" w:h="16838" w:orient="portrait"/>
          <w:cols w:equalWidth="0" w:num="1">
            <w:col w:w="9579"/>
          </w:cols>
          <w:pgMar w:left="880" w:top="142" w:right="1440" w:bottom="1440" w:gutter="0" w:footer="0" w:header="0"/>
        </w:sectPr>
      </w:pPr>
    </w:p>
    <w:bookmarkStart w:id="14" w:name="page15"/>
    <w:bookmarkEnd w:id="14"/>
    <w:p>
      <w:pPr>
        <w:ind w:left="960"/>
        <w:spacing w:after="0"/>
        <w:rPr>
          <w:sz w:val="20"/>
          <w:szCs w:val="20"/>
          <w:color w:val="auto"/>
        </w:rPr>
      </w:pPr>
      <w:r>
        <w:rPr>
          <w:rFonts w:ascii="Courier New" w:cs="Courier New" w:eastAsia="Courier New" w:hAnsi="Courier New"/>
          <w:sz w:val="18"/>
          <w:szCs w:val="18"/>
          <w:color w:val="auto"/>
        </w:rPr>
        <w:t>COMPENSATION AND COMMITTEES OF THE BOARD OF DIRECTORS</w:t>
      </w:r>
    </w:p>
    <w:p>
      <w:pPr>
        <w:spacing w:after="0" w:line="207"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Four (4) meetings of the Board of Directors were held during the last fiscal year. Directors other than Directors Emeriti are paid $750 for each meeting of the Board that they attend, and directors who do not reside in Louisville are reimbursed for their travel expenses. In addition, all directors, other than Directors Emeriti, receive an annual retainer of $3,000 per year and directors who serve as committee chairmen receive an additional $1,000 for a total retainer of $4,000 per year. The Chairman of the Board receives an additional $1,000 for a total retainer of $5,000. Directors Emeriti are not paid any compensation for attending meetings. They are entitled to have their expenses reimbursed.</w:t>
      </w:r>
    </w:p>
    <w:p>
      <w:pPr>
        <w:spacing w:after="0" w:line="12" w:lineRule="exact"/>
        <w:rPr>
          <w:sz w:val="20"/>
          <w:szCs w:val="20"/>
          <w:color w:val="auto"/>
        </w:rPr>
      </w:pPr>
    </w:p>
    <w:p>
      <w:pPr>
        <w:jc w:val="both"/>
        <w:ind w:right="1779" w:firstLine="1264"/>
        <w:spacing w:after="0" w:line="269" w:lineRule="auto"/>
        <w:rPr>
          <w:sz w:val="20"/>
          <w:szCs w:val="20"/>
          <w:color w:val="auto"/>
        </w:rPr>
      </w:pPr>
      <w:r>
        <w:rPr>
          <w:rFonts w:ascii="Courier New" w:cs="Courier New" w:eastAsia="Courier New" w:hAnsi="Courier New"/>
          <w:sz w:val="16"/>
          <w:szCs w:val="16"/>
          <w:color w:val="auto"/>
        </w:rPr>
        <w:t>The Company has four (4) standing Committees: the Executive, Audit, Compensation and Racing Committees. No Director Emeritus serves on any Board committee. The Executive Committee is authorized, subject to certain limitations set forth in the Company's Bylaws, to exercise the authority of the Board of Directors between Board meetings. Thirteen (13) meetings of the Executive Committee (of which Messrs. Bidwill, Farish, Galbreath, Grissom and Pollard are members) were held during the fiscal year. The Audit Committee is responsible for annually examining the financial affairs of the Company, including consulting with the Company's auditors. One (1) meeting of the Audit Committee (of which Messrs. Pollard and Darrell R. Wells are members) was held during the fiscal year. The Compensation Committee administers the Company's Supplemental Benefit Plan, Incentive Compensation Plan and 1993 Stock Option Plan, and reviews and recommends actions regarding executive compensation. Three (3) meetings of the Compensation Committee (of which Messrs. Clay, Farish, Hower, Modell and Darrell R. Wells are members) were held during the fiscal year. The Racing Committee is responsible for the Company's contracts and relations with horsemen, jockeys and others providing horse racing related services. The Racing</w:t>
      </w:r>
    </w:p>
    <w:p>
      <w:pPr>
        <w:sectPr>
          <w:pgSz w:w="11900" w:h="16838" w:orient="portrait"/>
          <w:cols w:equalWidth="0" w:num="1">
            <w:col w:w="10219"/>
          </w:cols>
          <w:pgMar w:left="240" w:top="717" w:right="1440" w:bottom="1440" w:gutter="0" w:footer="0" w:header="0"/>
        </w:sectPr>
      </w:pPr>
    </w:p>
    <w:bookmarkStart w:id="15" w:name="page16"/>
    <w:bookmarkEnd w:id="15"/>
    <w:p>
      <w:pPr>
        <w:jc w:val="both"/>
        <w:ind w:right="1779"/>
        <w:spacing w:after="0" w:line="268" w:lineRule="auto"/>
        <w:rPr>
          <w:sz w:val="20"/>
          <w:szCs w:val="20"/>
          <w:color w:val="auto"/>
        </w:rPr>
      </w:pPr>
      <w:r>
        <w:rPr>
          <w:rFonts w:ascii="Courier New" w:cs="Courier New" w:eastAsia="Courier New" w:hAnsi="Courier New"/>
          <w:sz w:val="16"/>
          <w:szCs w:val="16"/>
          <w:color w:val="auto"/>
        </w:rPr>
        <w:t>Committee (of which Messrs. Farish, Hancock and Pollard are members) held no meetings during the fiscal year. Directors are paid $500 for each committee meeting they attend other than meetings held by telephone. The Company does not have a standing nominating committee. All directors serving as Class I, II or</w:t>
      </w:r>
    </w:p>
    <w:p>
      <w:pPr>
        <w:spacing w:after="0" w:line="1" w:lineRule="exact"/>
        <w:rPr>
          <w:sz w:val="20"/>
          <w:szCs w:val="20"/>
          <w:color w:val="auto"/>
        </w:rPr>
      </w:pPr>
    </w:p>
    <w:p>
      <w:pPr>
        <w:jc w:val="both"/>
        <w:ind w:right="1779" w:firstLine="8"/>
        <w:spacing w:after="0" w:line="236"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except Mr. Modell, attended at least seventy-five percent (75%) of the meetings of the Board of Directors and the meetings of the committees on which they served.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EXECUTIVE OFFICERS OF THE COMPANY</w:t>
      </w:r>
    </w:p>
    <w:p>
      <w:pPr>
        <w:spacing w:after="0" w:line="207" w:lineRule="exact"/>
        <w:rPr>
          <w:sz w:val="20"/>
          <w:szCs w:val="20"/>
          <w:color w:val="auto"/>
        </w:rPr>
      </w:pPr>
    </w:p>
    <w:p>
      <w:pPr>
        <w:jc w:val="both"/>
        <w:ind w:right="2619" w:firstLine="1264"/>
        <w:spacing w:after="0" w:line="236" w:lineRule="auto"/>
        <w:rPr>
          <w:sz w:val="20"/>
          <w:szCs w:val="20"/>
          <w:color w:val="auto"/>
        </w:rPr>
      </w:pPr>
      <w:r>
        <w:rPr>
          <w:rFonts w:ascii="Courier New" w:cs="Courier New" w:eastAsia="Courier New" w:hAnsi="Courier New"/>
          <w:sz w:val="18"/>
          <w:szCs w:val="18"/>
          <w:color w:val="auto"/>
        </w:rPr>
        <w:t>The Company's executive officers, as listed below, are elected annually to their executive offices and serve at the pleasure of the Board of Directors.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800" w:type="dxa"/>
            <w:vAlign w:val="bottom"/>
            <w:gridSpan w:val="2"/>
          </w:tcPr>
          <w:p>
            <w:pPr>
              <w:jc w:val="center"/>
              <w:ind w:left="692"/>
              <w:spacing w:after="0"/>
              <w:rPr>
                <w:sz w:val="20"/>
                <w:szCs w:val="20"/>
                <w:color w:val="auto"/>
              </w:rPr>
            </w:pPr>
            <w:r>
              <w:rPr>
                <w:rFonts w:ascii="Courier New" w:cs="Courier New" w:eastAsia="Courier New" w:hAnsi="Courier New"/>
                <w:sz w:val="18"/>
                <w:szCs w:val="18"/>
                <w:color w:val="auto"/>
                <w:w w:val="97"/>
              </w:rPr>
              <w:t>COMMON STOCK OF</w:t>
            </w:r>
          </w:p>
        </w:tc>
      </w:tr>
      <w:tr>
        <w:trPr>
          <w:trHeight w:val="203"/>
        </w:trPr>
        <w:tc>
          <w:tcPr>
            <w:tcW w:w="23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800" w:type="dxa"/>
            <w:vAlign w:val="bottom"/>
            <w:gridSpan w:val="2"/>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THE COMPANY</w:t>
            </w:r>
          </w:p>
        </w:tc>
      </w:tr>
      <w:tr>
        <w:trPr>
          <w:trHeight w:val="203"/>
        </w:trPr>
        <w:tc>
          <w:tcPr>
            <w:tcW w:w="23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 OWNED</w:t>
            </w:r>
          </w:p>
        </w:tc>
      </w:tr>
      <w:tr>
        <w:trPr>
          <w:trHeight w:val="203"/>
        </w:trPr>
        <w:tc>
          <w:tcPr>
            <w:tcW w:w="23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 OF APRIL 1, 1995(1)(2)</w:t>
            </w:r>
          </w:p>
        </w:tc>
      </w:tr>
      <w:tr>
        <w:trPr>
          <w:trHeight w:val="405"/>
        </w:trPr>
        <w:tc>
          <w:tcPr>
            <w:tcW w:w="2320" w:type="dxa"/>
            <w:vAlign w:val="bottom"/>
          </w:tcPr>
          <w:p>
            <w:pPr>
              <w:ind w:left="220"/>
              <w:spacing w:after="0"/>
              <w:rPr>
                <w:sz w:val="20"/>
                <w:szCs w:val="20"/>
                <w:color w:val="auto"/>
              </w:rPr>
            </w:pPr>
            <w:r>
              <w:rPr>
                <w:rFonts w:ascii="Courier New" w:cs="Courier New" w:eastAsia="Courier New" w:hAnsi="Courier New"/>
                <w:sz w:val="18"/>
                <w:szCs w:val="18"/>
                <w:color w:val="auto"/>
              </w:rPr>
              <w:t>NAME AND AGE</w:t>
            </w:r>
          </w:p>
        </w:tc>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POSITION(S) WITH</w:t>
            </w:r>
          </w:p>
        </w:tc>
        <w:tc>
          <w:tcPr>
            <w:tcW w:w="1420" w:type="dxa"/>
            <w:vAlign w:val="bottom"/>
          </w:tcPr>
          <w:p>
            <w:pPr>
              <w:spacing w:after="0"/>
              <w:rPr>
                <w:sz w:val="24"/>
                <w:szCs w:val="24"/>
                <w:color w:val="auto"/>
              </w:rPr>
            </w:pPr>
          </w:p>
        </w:tc>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 OF</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TERM OF OFFICE</w:t>
            </w:r>
          </w:p>
        </w:tc>
        <w:tc>
          <w:tcPr>
            <w:tcW w:w="33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COMPANY</w:t>
            </w:r>
          </w:p>
        </w:tc>
        <w:tc>
          <w:tcPr>
            <w:tcW w:w="14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AMOUNT</w:t>
            </w:r>
          </w:p>
        </w:tc>
        <w:tc>
          <w:tcPr>
            <w:tcW w:w="138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6"/>
              </w:rPr>
              <w:t>CLASS</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William S. Farish (3)</w:t>
            </w:r>
          </w:p>
        </w:tc>
        <w:tc>
          <w:tcPr>
            <w:tcW w:w="3320" w:type="dxa"/>
            <w:vAlign w:val="bottom"/>
          </w:tcPr>
          <w:p>
            <w:pPr>
              <w:ind w:left="120"/>
              <w:spacing w:after="0"/>
              <w:rPr>
                <w:sz w:val="20"/>
                <w:szCs w:val="20"/>
                <w:color w:val="auto"/>
              </w:rPr>
            </w:pPr>
            <w:r>
              <w:rPr>
                <w:rFonts w:ascii="Courier New" w:cs="Courier New" w:eastAsia="Courier New" w:hAnsi="Courier New"/>
                <w:sz w:val="18"/>
                <w:szCs w:val="18"/>
                <w:color w:val="auto"/>
              </w:rPr>
              <w:t>Director since 1985;</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25,280(4)</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.7%</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56</w:t>
            </w: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since 1992</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Thomas H. Meeker</w:t>
            </w:r>
          </w:p>
        </w:tc>
        <w:tc>
          <w:tcPr>
            <w:tcW w:w="3320" w:type="dxa"/>
            <w:vAlign w:val="bottom"/>
          </w:tcPr>
          <w:p>
            <w:pPr>
              <w:ind w:left="120"/>
              <w:spacing w:after="0"/>
              <w:rPr>
                <w:sz w:val="20"/>
                <w:szCs w:val="20"/>
                <w:color w:val="auto"/>
              </w:rPr>
            </w:pPr>
            <w:r>
              <w:rPr>
                <w:rFonts w:ascii="Courier New" w:cs="Courier New" w:eastAsia="Courier New" w:hAnsi="Courier New"/>
                <w:sz w:val="18"/>
                <w:szCs w:val="18"/>
                <w:color w:val="auto"/>
              </w:rPr>
              <w:t>President and Chief Executive</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29,437(4)(5)</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51</w:t>
            </w: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Officer since 1984</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Vicki L. Baumgardner</w:t>
            </w:r>
          </w:p>
        </w:tc>
        <w:tc>
          <w:tcPr>
            <w:tcW w:w="3320" w:type="dxa"/>
            <w:vAlign w:val="bottom"/>
          </w:tcPr>
          <w:p>
            <w:pPr>
              <w:ind w:left="120"/>
              <w:spacing w:after="0"/>
              <w:rPr>
                <w:sz w:val="20"/>
                <w:szCs w:val="20"/>
                <w:color w:val="auto"/>
              </w:rPr>
            </w:pPr>
            <w:r>
              <w:rPr>
                <w:rFonts w:ascii="Courier New" w:cs="Courier New" w:eastAsia="Courier New" w:hAnsi="Courier New"/>
                <w:sz w:val="18"/>
                <w:szCs w:val="18"/>
                <w:color w:val="auto"/>
              </w:rPr>
              <w:t>Vice President of Finance and</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1,653(6)</w:t>
            </w:r>
          </w:p>
        </w:tc>
        <w:tc>
          <w:tcPr>
            <w:tcW w:w="13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43</w:t>
            </w: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Treasurer since February 1993;</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Controller from 1989 to</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February 1993</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David E. Carrico</w:t>
            </w:r>
          </w:p>
        </w:tc>
        <w:tc>
          <w:tcPr>
            <w:tcW w:w="3320" w:type="dxa"/>
            <w:vAlign w:val="bottom"/>
          </w:tcPr>
          <w:p>
            <w:pPr>
              <w:ind w:left="120"/>
              <w:spacing w:after="0"/>
              <w:rPr>
                <w:sz w:val="20"/>
                <w:szCs w:val="20"/>
                <w:color w:val="auto"/>
              </w:rPr>
            </w:pPr>
            <w:r>
              <w:rPr>
                <w:rFonts w:ascii="Courier New" w:cs="Courier New" w:eastAsia="Courier New" w:hAnsi="Courier New"/>
                <w:sz w:val="18"/>
                <w:szCs w:val="18"/>
                <w:color w:val="auto"/>
              </w:rPr>
              <w:t>Senior Vice President of</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2,310(7)</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44</w:t>
            </w: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Administration since June</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 Vice President of</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Marketing from 1990 to June</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 Director of Marketing</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1984 to 1990</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Dan L. Parkerson</w:t>
            </w:r>
          </w:p>
        </w:tc>
        <w:tc>
          <w:tcPr>
            <w:tcW w:w="3320" w:type="dxa"/>
            <w:vAlign w:val="bottom"/>
          </w:tcPr>
          <w:p>
            <w:pPr>
              <w:ind w:left="120"/>
              <w:spacing w:after="0"/>
              <w:rPr>
                <w:sz w:val="20"/>
                <w:szCs w:val="20"/>
                <w:color w:val="auto"/>
              </w:rPr>
            </w:pPr>
            <w:r>
              <w:rPr>
                <w:rFonts w:ascii="Courier New" w:cs="Courier New" w:eastAsia="Courier New" w:hAnsi="Courier New"/>
                <w:sz w:val="18"/>
                <w:szCs w:val="18"/>
                <w:color w:val="auto"/>
              </w:rPr>
              <w:t>Senior Vice President of</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2,450(8)</w:t>
            </w:r>
          </w:p>
        </w:tc>
        <w:tc>
          <w:tcPr>
            <w:tcW w:w="13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52</w:t>
            </w: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Operations since February 1991</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320" w:type="dxa"/>
            <w:vAlign w:val="bottom"/>
          </w:tcPr>
          <w:p>
            <w:pPr>
              <w:spacing w:after="0"/>
              <w:rPr>
                <w:sz w:val="17"/>
                <w:szCs w:val="17"/>
                <w:color w:val="auto"/>
              </w:rPr>
            </w:pPr>
          </w:p>
        </w:tc>
        <w:tc>
          <w:tcPr>
            <w:tcW w:w="3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and General Manager since June</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r>
    </w:tbl>
    <w:p>
      <w:pPr>
        <w:ind w:left="2440"/>
        <w:spacing w:after="0" w:line="238" w:lineRule="auto"/>
        <w:rPr>
          <w:sz w:val="20"/>
          <w:szCs w:val="20"/>
          <w:color w:val="auto"/>
        </w:rPr>
      </w:pPr>
      <w:r>
        <w:rPr>
          <w:rFonts w:ascii="Courier New" w:cs="Courier New" w:eastAsia="Courier New" w:hAnsi="Courier New"/>
          <w:sz w:val="18"/>
          <w:szCs w:val="18"/>
          <w:color w:val="auto"/>
        </w:rPr>
        <w:t>1991; Vice President of</w:t>
      </w:r>
    </w:p>
    <w:p>
      <w:pPr>
        <w:ind w:left="2440"/>
        <w:spacing w:after="0"/>
        <w:rPr>
          <w:sz w:val="20"/>
          <w:szCs w:val="20"/>
          <w:color w:val="auto"/>
        </w:rPr>
      </w:pPr>
      <w:r>
        <w:rPr>
          <w:rFonts w:ascii="Courier New" w:cs="Courier New" w:eastAsia="Courier New" w:hAnsi="Courier New"/>
          <w:sz w:val="18"/>
          <w:szCs w:val="18"/>
          <w:color w:val="auto"/>
        </w:rPr>
        <w:t>Operations from 1990 to 1991;</w:t>
      </w:r>
    </w:p>
    <w:p>
      <w:pPr>
        <w:ind w:left="2440"/>
        <w:spacing w:after="0" w:line="237" w:lineRule="auto"/>
        <w:rPr>
          <w:sz w:val="20"/>
          <w:szCs w:val="20"/>
          <w:color w:val="auto"/>
        </w:rPr>
      </w:pPr>
      <w:r>
        <w:rPr>
          <w:rFonts w:ascii="Courier New" w:cs="Courier New" w:eastAsia="Courier New" w:hAnsi="Courier New"/>
          <w:sz w:val="18"/>
          <w:szCs w:val="18"/>
          <w:color w:val="auto"/>
        </w:rPr>
        <w:t>Director of Operations from</w:t>
      </w:r>
    </w:p>
    <w:p>
      <w:pPr>
        <w:ind w:left="2440"/>
        <w:spacing w:after="0" w:line="238" w:lineRule="auto"/>
        <w:rPr>
          <w:sz w:val="20"/>
          <w:szCs w:val="20"/>
          <w:color w:val="auto"/>
        </w:rPr>
      </w:pPr>
      <w:r>
        <w:rPr>
          <w:rFonts w:ascii="Courier New" w:cs="Courier New" w:eastAsia="Courier New" w:hAnsi="Courier New"/>
          <w:sz w:val="18"/>
          <w:szCs w:val="18"/>
          <w:color w:val="auto"/>
        </w:rPr>
        <w:t>1986 to 1990</w:t>
      </w:r>
    </w:p>
    <w:p>
      <w:pPr>
        <w:sectPr>
          <w:pgSz w:w="11900" w:h="16838" w:orient="portrait"/>
          <w:cols w:equalWidth="0" w:num="1">
            <w:col w:w="10219"/>
          </w:cols>
          <w:pgMar w:left="240" w:top="52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Jeffrey M. Smith</w:t>
            </w:r>
          </w:p>
        </w:tc>
        <w:tc>
          <w:tcPr>
            <w:tcW w:w="3420" w:type="dxa"/>
            <w:vAlign w:val="bottom"/>
          </w:tcPr>
          <w:p>
            <w:pPr>
              <w:ind w:left="160"/>
              <w:spacing w:after="0"/>
              <w:rPr>
                <w:sz w:val="20"/>
                <w:szCs w:val="20"/>
                <w:color w:val="auto"/>
              </w:rPr>
            </w:pPr>
            <w:r>
              <w:rPr>
                <w:rFonts w:ascii="Courier New" w:cs="Courier New" w:eastAsia="Courier New" w:hAnsi="Courier New"/>
                <w:sz w:val="18"/>
                <w:szCs w:val="18"/>
                <w:color w:val="auto"/>
              </w:rPr>
              <w:t>Senior Vice President of</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3,349(9)</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42</w:t>
            </w: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Planning and Development</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since February 1993;</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Finance from 1991 to 1993;</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Treasurer from 1986 to 1993;</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Vice President of Finance</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from 1990 to 1991; Secretary</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from 1986 to 1990</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Alexander M. Waldrop</w:t>
            </w:r>
          </w:p>
        </w:tc>
        <w:tc>
          <w:tcPr>
            <w:tcW w:w="3420" w:type="dxa"/>
            <w:vAlign w:val="bottom"/>
          </w:tcPr>
          <w:p>
            <w:pPr>
              <w:ind w:left="160"/>
              <w:spacing w:after="0"/>
              <w:rPr>
                <w:sz w:val="20"/>
                <w:szCs w:val="20"/>
                <w:color w:val="auto"/>
              </w:rPr>
            </w:pPr>
            <w:r>
              <w:rPr>
                <w:rFonts w:ascii="Courier New" w:cs="Courier New" w:eastAsia="Courier New" w:hAnsi="Courier New"/>
                <w:sz w:val="18"/>
                <w:szCs w:val="18"/>
                <w:color w:val="auto"/>
              </w:rPr>
              <w:t>Senior Vice President since</w:t>
            </w:r>
          </w:p>
        </w:tc>
        <w:tc>
          <w:tcPr>
            <w:tcW w:w="1360" w:type="dxa"/>
            <w:vAlign w:val="bottom"/>
          </w:tcPr>
          <w:p>
            <w:pPr>
              <w:ind w:left="100"/>
              <w:spacing w:after="0"/>
              <w:rPr>
                <w:sz w:val="20"/>
                <w:szCs w:val="20"/>
                <w:color w:val="auto"/>
              </w:rPr>
            </w:pPr>
            <w:r>
              <w:rPr>
                <w:rFonts w:ascii="Courier New" w:cs="Courier New" w:eastAsia="Courier New" w:hAnsi="Courier New"/>
                <w:sz w:val="18"/>
                <w:szCs w:val="18"/>
                <w:color w:val="auto"/>
              </w:rPr>
              <w:t>3,104(10)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38</w:t>
            </w: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June 1994; General Counsel and</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Secretary since August 1992</w:t>
            </w:r>
          </w:p>
        </w:tc>
        <w:tc>
          <w:tcPr>
            <w:tcW w:w="13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Less than 0.1%</w:t>
      </w:r>
    </w:p>
    <w:p>
      <w:pPr>
        <w:spacing w:after="0" w:line="200" w:lineRule="exact"/>
        <w:rPr>
          <w:sz w:val="20"/>
          <w:szCs w:val="20"/>
          <w:color w:val="auto"/>
        </w:rPr>
      </w:pPr>
    </w:p>
    <w:p>
      <w:pPr>
        <w:spacing w:after="0" w:line="209" w:lineRule="exact"/>
        <w:rPr>
          <w:sz w:val="20"/>
          <w:szCs w:val="20"/>
          <w:color w:val="auto"/>
        </w:rPr>
      </w:pPr>
    </w:p>
    <w:p>
      <w:pPr>
        <w:jc w:val="both"/>
        <w:ind w:left="1060" w:right="1779" w:hanging="1052"/>
        <w:spacing w:after="0" w:line="236"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the Table on Option Grants in Last Fiscal Year under "Executive Compensation" below for a discussion of stock options granted by the Board of Directors to executive officers during 1994 and 1995.</w:t>
      </w:r>
    </w:p>
    <w:p>
      <w:pPr>
        <w:spacing w:after="0" w:line="208" w:lineRule="exact"/>
        <w:rPr>
          <w:rFonts w:ascii="Courier New" w:cs="Courier New" w:eastAsia="Courier New" w:hAnsi="Courier New"/>
          <w:sz w:val="18"/>
          <w:szCs w:val="18"/>
          <w:color w:val="auto"/>
        </w:rPr>
      </w:pPr>
    </w:p>
    <w:p>
      <w:pPr>
        <w:ind w:left="1060" w:right="1779" w:hanging="1052"/>
        <w:spacing w:after="0" w:line="235" w:lineRule="auto"/>
        <w:tabs>
          <w:tab w:leader="none" w:pos="10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executive officer shares voting or investment power with respect to his or her beneficially owned shares.</w:t>
      </w:r>
    </w:p>
    <w:p>
      <w:pPr>
        <w:spacing w:after="0" w:line="208" w:lineRule="exact"/>
        <w:rPr>
          <w:rFonts w:ascii="Courier New" w:cs="Courier New" w:eastAsia="Courier New" w:hAnsi="Courier New"/>
          <w:sz w:val="18"/>
          <w:szCs w:val="18"/>
          <w:color w:val="auto"/>
        </w:rPr>
      </w:pPr>
    </w:p>
    <w:p>
      <w:pPr>
        <w:ind w:left="1060" w:hanging="1052"/>
        <w:spacing w:after="0"/>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Farish does not serve  full-time as an executive  officer  of  the</w:t>
      </w:r>
    </w:p>
    <w:p>
      <w:pPr>
        <w:spacing w:after="0" w:line="16" w:lineRule="exact"/>
        <w:rPr>
          <w:sz w:val="20"/>
          <w:szCs w:val="20"/>
          <w:color w:val="auto"/>
        </w:rPr>
      </w:pPr>
    </w:p>
    <w:p>
      <w:pPr>
        <w:ind w:left="1060"/>
        <w:spacing w:after="0"/>
        <w:tabs>
          <w:tab w:leader="none" w:pos="1980" w:val="left"/>
          <w:tab w:leader="none" w:pos="2520" w:val="left"/>
          <w:tab w:leader="none" w:pos="3360" w:val="left"/>
          <w:tab w:leader="none" w:pos="4720" w:val="left"/>
          <w:tab w:leader="none" w:pos="5460" w:val="left"/>
          <w:tab w:leader="none" w:pos="6420" w:val="left"/>
        </w:tabs>
        <w:rPr>
          <w:sz w:val="20"/>
          <w:szCs w:val="20"/>
          <w:color w:val="auto"/>
        </w:rPr>
      </w:pPr>
      <w:r>
        <w:rPr>
          <w:rFonts w:ascii="Courier New" w:cs="Courier New" w:eastAsia="Courier New" w:hAnsi="Courier New"/>
          <w:sz w:val="18"/>
          <w:szCs w:val="18"/>
          <w:color w:val="auto"/>
        </w:rPr>
        <w:t>Company</w:t>
        <w:tab/>
        <w:t>and</w:t>
        <w:tab/>
        <w:t>is not</w:t>
        <w:tab/>
        <w:t>compensated</w:t>
        <w:tab/>
        <w:t>as an</w:t>
        <w:tab/>
        <w:t>officer</w:t>
      </w:r>
      <w:r>
        <w:rPr>
          <w:sz w:val="20"/>
          <w:szCs w:val="20"/>
          <w:color w:val="auto"/>
        </w:rPr>
        <w:tab/>
      </w:r>
      <w:r>
        <w:rPr>
          <w:rFonts w:ascii="Courier New" w:cs="Courier New" w:eastAsia="Courier New" w:hAnsi="Courier New"/>
          <w:sz w:val="16"/>
          <w:szCs w:val="16"/>
          <w:color w:val="auto"/>
        </w:rPr>
        <w:t>of the Company.</w:t>
      </w:r>
    </w:p>
    <w:p>
      <w:pPr>
        <w:spacing w:after="0" w:line="207" w:lineRule="exact"/>
        <w:rPr>
          <w:sz w:val="20"/>
          <w:szCs w:val="20"/>
          <w:color w:val="auto"/>
        </w:rPr>
      </w:pPr>
    </w:p>
    <w:p>
      <w:pPr>
        <w:jc w:val="both"/>
        <w:ind w:left="1060" w:right="1779" w:hanging="1052"/>
        <w:spacing w:after="0" w:line="235"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owned by Mr. Farish and Mr. Meeker are subject to the Stockholder Agreement. See "Common Stock Owned by Certain Persons."</w:t>
      </w:r>
    </w:p>
    <w:p>
      <w:pPr>
        <w:spacing w:after="0" w:line="208" w:lineRule="exact"/>
        <w:rPr>
          <w:rFonts w:ascii="Courier New" w:cs="Courier New" w:eastAsia="Courier New" w:hAnsi="Courier New"/>
          <w:sz w:val="18"/>
          <w:szCs w:val="18"/>
          <w:color w:val="auto"/>
        </w:rPr>
      </w:pPr>
    </w:p>
    <w:p>
      <w:pPr>
        <w:jc w:val="both"/>
        <w:ind w:left="1060" w:right="1779" w:hanging="1052"/>
        <w:spacing w:after="0" w:line="236"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717 shares issuable under the Company's Incentive Compensation Plan and 16,900 shares issuable under currently exercisable options.</w:t>
      </w:r>
    </w:p>
    <w:p>
      <w:pPr>
        <w:spacing w:after="0" w:line="208" w:lineRule="exact"/>
        <w:rPr>
          <w:rFonts w:ascii="Courier New" w:cs="Courier New" w:eastAsia="Courier New" w:hAnsi="Courier New"/>
          <w:sz w:val="18"/>
          <w:szCs w:val="18"/>
          <w:color w:val="auto"/>
        </w:rPr>
      </w:pPr>
    </w:p>
    <w:p>
      <w:pPr>
        <w:ind w:left="1060" w:right="1779" w:hanging="1052"/>
        <w:spacing w:after="0" w:line="290" w:lineRule="auto"/>
        <w:tabs>
          <w:tab w:leader="none" w:pos="10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27 shares issuable under the Company's Incentive Compensation Plan and 1,500 shares issuable under currently exercisable options.</w:t>
      </w:r>
    </w:p>
    <w:p>
      <w:pPr>
        <w:spacing w:after="0" w:line="169" w:lineRule="exact"/>
        <w:rPr>
          <w:rFonts w:ascii="Courier New" w:cs="Courier New" w:eastAsia="Courier New" w:hAnsi="Courier New"/>
          <w:sz w:val="16"/>
          <w:szCs w:val="16"/>
          <w:color w:val="auto"/>
        </w:rPr>
      </w:pPr>
    </w:p>
    <w:p>
      <w:pPr>
        <w:jc w:val="both"/>
        <w:ind w:left="1060" w:right="1779" w:hanging="1052"/>
        <w:spacing w:after="0" w:line="236"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104 shares issuable under the Company's Incentive Compensation Plan and 2,000 shares issuable under currently exercisable options.</w:t>
      </w:r>
    </w:p>
    <w:p>
      <w:pPr>
        <w:spacing w:after="0" w:line="208" w:lineRule="exact"/>
        <w:rPr>
          <w:rFonts w:ascii="Courier New" w:cs="Courier New" w:eastAsia="Courier New" w:hAnsi="Courier New"/>
          <w:sz w:val="18"/>
          <w:szCs w:val="18"/>
          <w:color w:val="auto"/>
        </w:rPr>
      </w:pPr>
    </w:p>
    <w:p>
      <w:pPr>
        <w:jc w:val="both"/>
        <w:ind w:left="1060" w:right="1779" w:hanging="1052"/>
        <w:spacing w:after="0" w:line="236"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109 shares issuable under the Company's Incentive Compensation Plan and 2,000 shares issuable under currently exercisable options.</w:t>
      </w:r>
    </w:p>
    <w:p>
      <w:pPr>
        <w:spacing w:after="0" w:line="208" w:lineRule="exact"/>
        <w:rPr>
          <w:rFonts w:ascii="Courier New" w:cs="Courier New" w:eastAsia="Courier New" w:hAnsi="Courier New"/>
          <w:sz w:val="18"/>
          <w:szCs w:val="18"/>
          <w:color w:val="auto"/>
        </w:rPr>
      </w:pPr>
    </w:p>
    <w:p>
      <w:pPr>
        <w:jc w:val="both"/>
        <w:ind w:left="1060" w:right="1779" w:hanging="1052"/>
        <w:spacing w:after="0" w:line="236"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108 shares issuable under the Company's Incentive Compensation Plan and 3,000 shares issuable under currently exercisable options.</w:t>
      </w:r>
    </w:p>
    <w:p>
      <w:pPr>
        <w:spacing w:after="0" w:line="208" w:lineRule="exact"/>
        <w:rPr>
          <w:rFonts w:ascii="Courier New" w:cs="Courier New" w:eastAsia="Courier New" w:hAnsi="Courier New"/>
          <w:sz w:val="18"/>
          <w:szCs w:val="18"/>
          <w:color w:val="auto"/>
        </w:rPr>
      </w:pPr>
    </w:p>
    <w:p>
      <w:pPr>
        <w:jc w:val="both"/>
        <w:ind w:left="1060" w:right="1779" w:hanging="1052"/>
        <w:spacing w:after="0" w:line="236" w:lineRule="auto"/>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104 shares issuable under the Company's Incentive Compensation Plan and 3,000 shares issuable under currently exercisable options.</w:t>
      </w:r>
    </w:p>
    <w:p>
      <w:pPr>
        <w:sectPr>
          <w:pgSz w:w="11900" w:h="16838" w:orient="portrait"/>
          <w:cols w:equalWidth="0" w:num="1">
            <w:col w:w="10219"/>
          </w:cols>
          <w:pgMar w:left="240" w:top="717" w:right="1440" w:bottom="1440" w:gutter="0" w:footer="0" w:header="0"/>
        </w:sectPr>
      </w:pPr>
    </w:p>
    <w:bookmarkStart w:id="17" w:name="page18"/>
    <w:bookmarkEnd w:id="17"/>
    <w:p>
      <w:pPr>
        <w:jc w:val="both"/>
        <w:ind w:right="1779" w:firstLine="737"/>
        <w:spacing w:after="0" w:line="236" w:lineRule="auto"/>
        <w:rPr>
          <w:sz w:val="20"/>
          <w:szCs w:val="20"/>
          <w:color w:val="auto"/>
        </w:rPr>
      </w:pPr>
      <w:r>
        <w:rPr>
          <w:rFonts w:ascii="Courier New" w:cs="Courier New" w:eastAsia="Courier New" w:hAnsi="Courier New"/>
          <w:sz w:val="18"/>
          <w:szCs w:val="18"/>
          <w:color w:val="auto"/>
        </w:rPr>
        <w:t>Mr. Waldrop was employed as an attorney with the Louisville law firm of Wyatt, Tarrant &amp; Combs, which firm serves as primary outside counsel to the Company, from August 1985 until his employment by the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COMPENSATION COMMITTEE REPORT ON EXECUTIVE COMPENSATION</w:t>
      </w:r>
    </w:p>
    <w:p>
      <w:pPr>
        <w:spacing w:after="0" w:line="201" w:lineRule="exact"/>
        <w:rPr>
          <w:sz w:val="20"/>
          <w:szCs w:val="20"/>
          <w:color w:val="auto"/>
        </w:rPr>
      </w:pPr>
    </w:p>
    <w:p>
      <w:pPr>
        <w:ind w:left="740"/>
        <w:spacing w:after="0"/>
        <w:tabs>
          <w:tab w:leader="none" w:pos="2100" w:val="left"/>
          <w:tab w:leader="none" w:pos="5140" w:val="left"/>
          <w:tab w:leader="none" w:pos="6620" w:val="left"/>
        </w:tabs>
        <w:rPr>
          <w:sz w:val="20"/>
          <w:szCs w:val="20"/>
          <w:color w:val="auto"/>
        </w:rPr>
      </w:pPr>
      <w:r>
        <w:rPr>
          <w:rFonts w:ascii="Courier New" w:cs="Courier New" w:eastAsia="Courier New" w:hAnsi="Courier New"/>
          <w:sz w:val="18"/>
          <w:szCs w:val="18"/>
          <w:color w:val="auto"/>
        </w:rPr>
        <w:t>Under rules</w:t>
        <w:tab/>
        <w:t>established by the SEC, the</w:t>
        <w:tab/>
        <w:t>Compensation</w:t>
      </w:r>
      <w:r>
        <w:rPr>
          <w:sz w:val="20"/>
          <w:szCs w:val="20"/>
          <w:color w:val="auto"/>
        </w:rPr>
        <w:tab/>
      </w:r>
      <w:r>
        <w:rPr>
          <w:rFonts w:ascii="Courier New" w:cs="Courier New" w:eastAsia="Courier New" w:hAnsi="Courier New"/>
          <w:sz w:val="16"/>
          <w:szCs w:val="16"/>
          <w:color w:val="auto"/>
        </w:rPr>
        <w:t>Committee</w:t>
      </w:r>
    </w:p>
    <w:p>
      <w:pPr>
        <w:spacing w:after="0" w:line="4"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of the Board of Directors (the "Committee") is required to disclose: (1) the Committee's compensation policies applicable to the Company's executive officers; (2) the relationship of executive compensation to Company performance; and (3) the Committee's bases for determining the compensation of the Company's Chief Executive Officer ("CEO"), Thomas H. Meeker, for the most recently completed fiscal year. Pursuant to these requirements, the Committee has prepared this report for inclusion in the Proxy Statement.</w:t>
      </w:r>
    </w:p>
    <w:p>
      <w:pPr>
        <w:spacing w:after="0" w:line="9" w:lineRule="exact"/>
        <w:rPr>
          <w:sz w:val="20"/>
          <w:szCs w:val="20"/>
          <w:color w:val="auto"/>
        </w:rPr>
      </w:pPr>
    </w:p>
    <w:p>
      <w:pPr>
        <w:jc w:val="both"/>
        <w:ind w:right="1779" w:firstLine="737"/>
        <w:spacing w:after="0" w:line="270" w:lineRule="auto"/>
        <w:rPr>
          <w:sz w:val="20"/>
          <w:szCs w:val="20"/>
          <w:color w:val="auto"/>
        </w:rPr>
      </w:pPr>
      <w:r>
        <w:rPr>
          <w:rFonts w:ascii="Courier New" w:cs="Courier New" w:eastAsia="Courier New" w:hAnsi="Courier New"/>
          <w:sz w:val="16"/>
          <w:szCs w:val="16"/>
          <w:color w:val="auto"/>
        </w:rPr>
        <w:t>The Committee consists of five (5) independent Directors, none of whom has ever been employed by the Company. The Committee annually reviews executive officer compensation and makes recommendations to the Board of Directors on all matters related to executive compensation. The Committee's authority and oversight extend to total compensation, including base salary, annual incentive compensation and stock options for the Company's executive officers as well as the Company's Profit Sharing Plan. The Committee also administers the employment contract and Supplemental Benefit Plan of the Company's CEO, Thomas H. Meeker. The Committee makes its compensation recommendations to the Board of Directors after considering the recommendations of the CEO (on all but CEO compensation) and other qualified compensation consultants. The Committee also reviews compensation data from comparable companies including those found in the peer group performance graph (the "Peer Graph") which follows this report.</w:t>
      </w:r>
    </w:p>
    <w:p>
      <w:pPr>
        <w:sectPr>
          <w:pgSz w:w="11900" w:h="16838" w:orient="portrait"/>
          <w:cols w:equalWidth="0" w:num="1">
            <w:col w:w="10219"/>
          </w:cols>
          <w:pgMar w:left="240" w:top="925" w:right="1440" w:bottom="1440" w:gutter="0" w:footer="0" w:header="0"/>
        </w:sectPr>
      </w:pPr>
    </w:p>
    <w:bookmarkStart w:id="18" w:name="page19"/>
    <w:bookmarkEnd w:id="18"/>
    <w:p>
      <w:pPr>
        <w:jc w:val="both"/>
        <w:ind w:right="1779" w:firstLine="737"/>
        <w:spacing w:after="0" w:line="268" w:lineRule="auto"/>
        <w:rPr>
          <w:sz w:val="20"/>
          <w:szCs w:val="20"/>
          <w:color w:val="auto"/>
        </w:rPr>
      </w:pPr>
      <w:r>
        <w:rPr>
          <w:rFonts w:ascii="Courier New" w:cs="Courier New" w:eastAsia="Courier New" w:hAnsi="Courier New"/>
          <w:sz w:val="16"/>
          <w:szCs w:val="16"/>
          <w:color w:val="auto"/>
        </w:rPr>
        <w:t>The fundamental philosophy of the Committee is to assure that the Company's compensation program for executive officers links pay to business strategy and performance in a manner which is effective in attracting, motivating and retaining key executives while also providing performance incentives which will inure to the benefit of executive officers and shareholders alike. The objective is to provide total compensation commensurate with Company performance by combining salaries that are competitive in the marketplace with incentive pay opportunities established by the Committee which are competitive with median levels of competitors' incentive compensation.</w:t>
      </w:r>
    </w:p>
    <w:p>
      <w:pPr>
        <w:spacing w:after="0" w:line="2" w:lineRule="exact"/>
        <w:rPr>
          <w:sz w:val="20"/>
          <w:szCs w:val="20"/>
          <w:color w:val="auto"/>
        </w:rPr>
      </w:pPr>
    </w:p>
    <w:p>
      <w:pPr>
        <w:jc w:val="both"/>
        <w:ind w:right="1779" w:firstLine="737"/>
        <w:spacing w:after="0" w:line="235" w:lineRule="auto"/>
        <w:rPr>
          <w:sz w:val="20"/>
          <w:szCs w:val="20"/>
          <w:color w:val="auto"/>
        </w:rPr>
      </w:pPr>
      <w:r>
        <w:rPr>
          <w:rFonts w:ascii="Courier New" w:cs="Courier New" w:eastAsia="Courier New" w:hAnsi="Courier New"/>
          <w:sz w:val="18"/>
          <w:szCs w:val="18"/>
          <w:color w:val="auto"/>
        </w:rPr>
        <w:t>There are three (3) basic elements of the Company's executive compensation program, each determined by individual and corporate performance:</w:t>
      </w:r>
    </w:p>
    <w:p>
      <w:pPr>
        <w:spacing w:after="0" w:line="6" w:lineRule="exact"/>
        <w:rPr>
          <w:sz w:val="20"/>
          <w:szCs w:val="20"/>
          <w:color w:val="auto"/>
        </w:rPr>
      </w:pPr>
    </w:p>
    <w:p>
      <w:pPr>
        <w:jc w:val="both"/>
        <w:ind w:right="1779" w:firstLine="8"/>
        <w:spacing w:after="0" w:line="268" w:lineRule="auto"/>
        <w:tabs>
          <w:tab w:leader="none" w:pos="52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compensation, (ii) annual variable performance incentive compensation earned under the Company's Incentive Compensation Plan ("ICP") and</w:t>
      </w:r>
    </w:p>
    <w:p>
      <w:pPr>
        <w:ind w:right="1779" w:firstLine="8"/>
        <w:spacing w:after="0" w:line="235" w:lineRule="auto"/>
        <w:tabs>
          <w:tab w:leader="none" w:pos="63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grants made under the Company's 1993 Stock Option Plan (the "Option Plan").</w:t>
      </w:r>
    </w:p>
    <w:p>
      <w:pPr>
        <w:spacing w:after="0" w:line="5" w:lineRule="exact"/>
        <w:rPr>
          <w:rFonts w:ascii="Courier New" w:cs="Courier New" w:eastAsia="Courier New" w:hAnsi="Courier New"/>
          <w:sz w:val="18"/>
          <w:szCs w:val="18"/>
          <w:color w:val="auto"/>
        </w:rPr>
      </w:pPr>
    </w:p>
    <w:p>
      <w:pPr>
        <w:jc w:val="both"/>
        <w:ind w:right="1779" w:firstLine="73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Base salaries are targeted to be competitive with comparable positions in comparable companies. In determining base salaries, the Committee also takes into account individual experience and performance and specific issues particular to the Company.</w:t>
      </w:r>
    </w:p>
    <w:p>
      <w:pPr>
        <w:spacing w:after="0" w:line="4" w:lineRule="exact"/>
        <w:rPr>
          <w:rFonts w:ascii="Courier New" w:cs="Courier New" w:eastAsia="Courier New" w:hAnsi="Courier New"/>
          <w:sz w:val="18"/>
          <w:szCs w:val="18"/>
          <w:color w:val="auto"/>
        </w:rPr>
      </w:pPr>
    </w:p>
    <w:p>
      <w:pPr>
        <w:jc w:val="both"/>
        <w:ind w:right="1779" w:firstLine="737"/>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ICP provides a direct financial incentive in the form of annual cash and/or stock bonuses. The amount of each bonus is determined by the Company's achievement of certain target earnings per share (computed before taxes but after recognition of awards made under the ICP) ("EPS") goals established annually by the Committee. The ICP provides for the award of a bonus based upon the Company's achievement of EPS goals and the 5-year total return to shareholders in the form of dividends and increases in the Company's stock price, compared to the Wilshire 5000 stock index. These goals are weighted with achievement of EPS goals having a factor of two-thirds and comparative total return to shareholders having a factor of one-third.</w:t>
      </w:r>
    </w:p>
    <w:p>
      <w:pPr>
        <w:sectPr>
          <w:pgSz w:w="11900" w:h="16838" w:orient="portrait"/>
          <w:cols w:equalWidth="0" w:num="1">
            <w:col w:w="10219"/>
          </w:cols>
          <w:pgMar w:left="240" w:top="520" w:right="1440" w:bottom="1440" w:gutter="0" w:footer="0" w:header="0"/>
        </w:sectPr>
      </w:pPr>
    </w:p>
    <w:bookmarkStart w:id="19" w:name="page20"/>
    <w:bookmarkEnd w:id="19"/>
    <w:p>
      <w:pPr>
        <w:jc w:val="both"/>
        <w:ind w:right="1779" w:firstLine="737"/>
        <w:spacing w:after="0" w:line="237" w:lineRule="auto"/>
        <w:rPr>
          <w:sz w:val="20"/>
          <w:szCs w:val="20"/>
          <w:color w:val="auto"/>
        </w:rPr>
      </w:pPr>
      <w:r>
        <w:rPr>
          <w:rFonts w:ascii="Courier New" w:cs="Courier New" w:eastAsia="Courier New" w:hAnsi="Courier New"/>
          <w:sz w:val="18"/>
          <w:szCs w:val="18"/>
          <w:color w:val="auto"/>
        </w:rPr>
        <w:t>The Committee has determined that as an executive's level of responsibility increases, a greater portion of his or her total compensation should be performance based. Not only do awards increase as an executive rises in the Company but also his or her ICP award is composed of a higher percentage of stock which means the compensation shifts to reliance on the value of the Company's stock.</w:t>
      </w:r>
    </w:p>
    <w:p>
      <w:pPr>
        <w:spacing w:after="0" w:line="7" w:lineRule="exact"/>
        <w:rPr>
          <w:sz w:val="20"/>
          <w:szCs w:val="20"/>
          <w:color w:val="auto"/>
        </w:rPr>
      </w:pPr>
    </w:p>
    <w:p>
      <w:pPr>
        <w:jc w:val="both"/>
        <w:ind w:right="1779" w:firstLine="737"/>
        <w:spacing w:after="0" w:line="268" w:lineRule="auto"/>
        <w:rPr>
          <w:sz w:val="20"/>
          <w:szCs w:val="20"/>
          <w:color w:val="auto"/>
        </w:rPr>
      </w:pPr>
      <w:r>
        <w:rPr>
          <w:rFonts w:ascii="Courier New" w:cs="Courier New" w:eastAsia="Courier New" w:hAnsi="Courier New"/>
          <w:sz w:val="16"/>
          <w:szCs w:val="16"/>
          <w:color w:val="auto"/>
        </w:rPr>
        <w:t>For the Company's year ended December 31, 1994, the Committee set the ICP minimum performance goal at EPS equal to the Company's budget and total return to shareholders equal to the Wilshire 5000 and the Company met both the EPS goal and total return to shareholders goal. As a result, bonuses were awarded under the ICP for the Company's year ended December 31, 1994. These bonuses are reflected in the Summary Compensation Table. For fiscal year 1995, the Committee once again set the ICP minimum performance goal at EPS equal to the Company's budget and total return to shareholders equal to the Wilshire 5000.</w:t>
      </w:r>
    </w:p>
    <w:p>
      <w:pPr>
        <w:spacing w:after="0" w:line="1" w:lineRule="exact"/>
        <w:rPr>
          <w:sz w:val="20"/>
          <w:szCs w:val="20"/>
          <w:color w:val="auto"/>
        </w:rPr>
      </w:pPr>
    </w:p>
    <w:p>
      <w:pPr>
        <w:jc w:val="both"/>
        <w:ind w:right="1779" w:firstLine="737"/>
        <w:spacing w:after="0" w:line="237" w:lineRule="auto"/>
        <w:rPr>
          <w:sz w:val="20"/>
          <w:szCs w:val="20"/>
          <w:color w:val="auto"/>
        </w:rPr>
      </w:pPr>
      <w:r>
        <w:rPr>
          <w:rFonts w:ascii="Courier New" w:cs="Courier New" w:eastAsia="Courier New" w:hAnsi="Courier New"/>
          <w:sz w:val="18"/>
          <w:szCs w:val="18"/>
          <w:color w:val="auto"/>
        </w:rPr>
        <w:t>At the Annual Meeting of Shareholders held on June 16, 1994, the shareholders of the Company approved the Churchill Downs Incorporated 1993 Stock Option Plan. The Committee believes that the granting of options pursuant to the Option Plan to officers of the Company, including Mr. Meeker, will further the Company's goals of attracting, motivating and retaining employees while also providing compensation which links pay to performance. During 1994, awards under the Option Plan were as follows: (1) Mr. Meeker was granted 5,376 nonqualified stock options and 4,624 incentive stock options ("ISOs") and (2) all other officers were granted 4,800 nonqualified stock options and 5,750 ISOs. The options are exercisable in 1997. The Option Plan provides for cashless exercises through broker's transactions.</w:t>
      </w:r>
    </w:p>
    <w:p>
      <w:pPr>
        <w:spacing w:after="0" w:line="13" w:lineRule="exact"/>
        <w:rPr>
          <w:sz w:val="20"/>
          <w:szCs w:val="20"/>
          <w:color w:val="auto"/>
        </w:rPr>
      </w:pPr>
    </w:p>
    <w:p>
      <w:pPr>
        <w:jc w:val="both"/>
        <w:ind w:right="1779" w:firstLine="737"/>
        <w:spacing w:after="0" w:line="279" w:lineRule="auto"/>
        <w:rPr>
          <w:sz w:val="20"/>
          <w:szCs w:val="20"/>
          <w:color w:val="auto"/>
        </w:rPr>
      </w:pPr>
      <w:r>
        <w:rPr>
          <w:rFonts w:ascii="Courier New" w:cs="Courier New" w:eastAsia="Courier New" w:hAnsi="Courier New"/>
          <w:sz w:val="16"/>
          <w:szCs w:val="16"/>
          <w:color w:val="auto"/>
        </w:rPr>
        <w:t>The Committee believes that the Option Plan is integral to a performance based compensation package. Although the ICP reflects certain levels of increases in stock price, the ICP is also heavily weighted toward earnings per</w:t>
      </w:r>
    </w:p>
    <w:p>
      <w:pPr>
        <w:sectPr>
          <w:pgSz w:w="11900" w:h="16838" w:orient="portrait"/>
          <w:cols w:equalWidth="0" w:num="1">
            <w:col w:w="10219"/>
          </w:cols>
          <w:pgMar w:left="240" w:top="520" w:right="1440" w:bottom="1440" w:gutter="0" w:footer="0" w:header="0"/>
        </w:sectPr>
      </w:pPr>
    </w:p>
    <w:bookmarkStart w:id="20" w:name="page21"/>
    <w:bookmarkEnd w:id="20"/>
    <w:p>
      <w:pPr>
        <w:jc w:val="both"/>
        <w:ind w:right="1779"/>
        <w:spacing w:after="0" w:line="237" w:lineRule="auto"/>
        <w:rPr>
          <w:sz w:val="20"/>
          <w:szCs w:val="20"/>
          <w:color w:val="auto"/>
        </w:rPr>
      </w:pPr>
      <w:r>
        <w:rPr>
          <w:rFonts w:ascii="Courier New" w:cs="Courier New" w:eastAsia="Courier New" w:hAnsi="Courier New"/>
          <w:sz w:val="18"/>
          <w:szCs w:val="18"/>
          <w:color w:val="auto"/>
        </w:rPr>
        <w:t>share goals established by the Committee. The Option Plan allows the Company to further tie compensation to performance of the Company with a possibility of greatly increasing the total compensation package of its executives without an equivalent cash outlay by the Company.</w:t>
      </w:r>
    </w:p>
    <w:p>
      <w:pPr>
        <w:spacing w:after="0" w:line="5" w:lineRule="exact"/>
        <w:rPr>
          <w:sz w:val="20"/>
          <w:szCs w:val="20"/>
          <w:color w:val="auto"/>
        </w:rPr>
      </w:pPr>
    </w:p>
    <w:p>
      <w:pPr>
        <w:jc w:val="both"/>
        <w:ind w:right="1779" w:firstLine="737"/>
        <w:spacing w:after="0" w:line="237" w:lineRule="auto"/>
        <w:rPr>
          <w:sz w:val="20"/>
          <w:szCs w:val="20"/>
          <w:color w:val="auto"/>
        </w:rPr>
      </w:pPr>
      <w:r>
        <w:rPr>
          <w:rFonts w:ascii="Courier New" w:cs="Courier New" w:eastAsia="Courier New" w:hAnsi="Courier New"/>
          <w:sz w:val="18"/>
          <w:szCs w:val="18"/>
          <w:color w:val="auto"/>
        </w:rPr>
        <w:t>Mr. Meeker was employed as President and Chief Executive Officer of the Company in October 1984 under an annually renewing three-year contract. Each year, Mr. Meeker's base salary is set by the Committee after considering the Company's overall financial performance in light of the Company's strategic development initiatives. In April of 1994, Mr. Meeker's annual base salary was increased to $245,000. This relatively small increase in base salary reflects the fact that the Committee has decided to shift a greater portion of Mr. Meeker's overall compensation to performance based sources such as the ICP and the Option Plan.</w:t>
      </w:r>
    </w:p>
    <w:p>
      <w:pPr>
        <w:spacing w:after="0" w:line="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COMPENSATION COMMITTEE</w:t>
      </w:r>
    </w:p>
    <w:p>
      <w:pPr>
        <w:jc w:val="right"/>
        <w:ind w:right="1779"/>
        <w:spacing w:after="0" w:line="238" w:lineRule="auto"/>
        <w:rPr>
          <w:sz w:val="20"/>
          <w:szCs w:val="20"/>
          <w:color w:val="auto"/>
        </w:rPr>
      </w:pPr>
      <w:r>
        <w:rPr>
          <w:rFonts w:ascii="Courier New" w:cs="Courier New" w:eastAsia="Courier New" w:hAnsi="Courier New"/>
          <w:sz w:val="18"/>
          <w:szCs w:val="18"/>
          <w:color w:val="auto"/>
        </w:rPr>
        <w:t>Frank B. Hower, Jr.</w:t>
      </w:r>
    </w:p>
    <w:p>
      <w:pPr>
        <w:jc w:val="right"/>
        <w:ind w:right="1779"/>
        <w:spacing w:after="0"/>
        <w:rPr>
          <w:sz w:val="20"/>
          <w:szCs w:val="20"/>
          <w:color w:val="auto"/>
        </w:rPr>
      </w:pPr>
      <w:r>
        <w:rPr>
          <w:rFonts w:ascii="Courier New" w:cs="Courier New" w:eastAsia="Courier New" w:hAnsi="Courier New"/>
          <w:sz w:val="18"/>
          <w:szCs w:val="18"/>
          <w:color w:val="auto"/>
        </w:rPr>
        <w:t>William S. Farish</w:t>
      </w:r>
    </w:p>
    <w:p>
      <w:pPr>
        <w:jc w:val="right"/>
        <w:ind w:right="1779"/>
        <w:spacing w:after="0" w:line="237" w:lineRule="auto"/>
        <w:rPr>
          <w:sz w:val="20"/>
          <w:szCs w:val="20"/>
          <w:color w:val="auto"/>
        </w:rPr>
      </w:pPr>
      <w:r>
        <w:rPr>
          <w:rFonts w:ascii="Courier New" w:cs="Courier New" w:eastAsia="Courier New" w:hAnsi="Courier New"/>
          <w:sz w:val="18"/>
          <w:szCs w:val="18"/>
          <w:color w:val="auto"/>
        </w:rPr>
        <w:t>Catesby W. Clay</w:t>
      </w:r>
    </w:p>
    <w:p>
      <w:pPr>
        <w:jc w:val="right"/>
        <w:ind w:right="1779"/>
        <w:spacing w:after="0" w:line="238" w:lineRule="auto"/>
        <w:rPr>
          <w:sz w:val="20"/>
          <w:szCs w:val="20"/>
          <w:color w:val="auto"/>
        </w:rPr>
      </w:pPr>
      <w:r>
        <w:rPr>
          <w:rFonts w:ascii="Courier New" w:cs="Courier New" w:eastAsia="Courier New" w:hAnsi="Courier New"/>
          <w:sz w:val="18"/>
          <w:szCs w:val="18"/>
          <w:color w:val="auto"/>
        </w:rPr>
        <w:t>Arthur B. Modell</w:t>
      </w:r>
    </w:p>
    <w:p>
      <w:pPr>
        <w:jc w:val="right"/>
        <w:ind w:right="1779"/>
        <w:spacing w:after="0"/>
        <w:rPr>
          <w:sz w:val="20"/>
          <w:szCs w:val="20"/>
          <w:color w:val="auto"/>
        </w:rPr>
      </w:pPr>
      <w:r>
        <w:rPr>
          <w:rFonts w:ascii="Courier New" w:cs="Courier New" w:eastAsia="Courier New" w:hAnsi="Courier New"/>
          <w:sz w:val="18"/>
          <w:szCs w:val="18"/>
          <w:color w:val="auto"/>
        </w:rPr>
        <w:t>Darrell R. Wells</w:t>
      </w:r>
    </w:p>
    <w:p>
      <w:pPr>
        <w:sectPr>
          <w:pgSz w:w="11900" w:h="16838" w:orient="portrait"/>
          <w:cols w:equalWidth="0" w:num="1">
            <w:col w:w="10219"/>
          </w:cols>
          <w:pgMar w:left="240" w:top="520" w:right="1440" w:bottom="1440" w:gutter="0" w:footer="0" w:header="0"/>
        </w:sectPr>
      </w:pPr>
    </w:p>
    <w:bookmarkStart w:id="21" w:name="page22"/>
    <w:bookmarkEnd w:id="21"/>
    <w:p>
      <w:pPr>
        <w:ind w:left="640"/>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jc w:val="both"/>
        <w:ind w:right="1779" w:firstLine="737"/>
        <w:spacing w:after="0" w:line="235" w:lineRule="auto"/>
        <w:rPr>
          <w:sz w:val="20"/>
          <w:szCs w:val="20"/>
          <w:color w:val="auto"/>
        </w:rPr>
      </w:pPr>
      <w:r>
        <w:rPr>
          <w:rFonts w:ascii="Courier New" w:cs="Courier New" w:eastAsia="Courier New" w:hAnsi="Courier New"/>
          <w:sz w:val="18"/>
          <w:szCs w:val="18"/>
          <w:color w:val="auto"/>
        </w:rPr>
        <w:t>The Company is unaware of any relationships among its officers and directors which would require disclosure under this caption.</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jc w:val="both"/>
        <w:ind w:right="1779" w:firstLine="737"/>
        <w:spacing w:after="0" w:line="269" w:lineRule="auto"/>
        <w:rPr>
          <w:sz w:val="20"/>
          <w:szCs w:val="20"/>
          <w:color w:val="auto"/>
        </w:rPr>
      </w:pPr>
      <w:r>
        <w:rPr>
          <w:rFonts w:ascii="Courier New" w:cs="Courier New" w:eastAsia="Courier New" w:hAnsi="Courier New"/>
          <w:sz w:val="16"/>
          <w:szCs w:val="16"/>
          <w:color w:val="auto"/>
        </w:rPr>
        <w:t>Set forth below is a line graph comparing the yearly percentage change in the cumulative total shareholder return on the Company's Common Stock against the cumulative total return of each of a peer group index and the Wilshire 5000 index for the period of approximately five (5) fiscal years commencing January 31, 1990, and ending December 31, 1994. The period ending December 31, 1993 represents an eleven (11) month period due to the change in the Company's fiscal year. The companies used in the peer group index consist of Bay Meadows Operating Co., Fair Grounds Corp., Hollywood Park Operating Co., International Thoroughbred Breeders, Inc. and Santa Anita Operating Co., which are all of the publicly traded companies known to the Company to be engaged primarily in thoroughbred racing in the continental United States. Turf Paradise, Inc. was previously included in the peer group index but was acquired by Hollywood Park Operating Co. in 1994. The Wilshire 5000 equity index measures the performance of all United States headquartered equity securities with readily available price data. The graph depicts the result of an investment of $100 in the Company, the Wilshire 5000 index and the peer group companies. Since the Company has historically paid dividends on an annual basis, the performance graph assumes that dividends were reinvested annually.</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1/31/90</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1/31/91</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1/31/92</w:t>
            </w:r>
          </w:p>
        </w:tc>
        <w:tc>
          <w:tcPr>
            <w:tcW w:w="96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1/31/93</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12/31/93</w:t>
            </w:r>
          </w:p>
        </w:tc>
        <w:tc>
          <w:tcPr>
            <w:tcW w:w="880" w:type="dxa"/>
            <w:vAlign w:val="bottom"/>
          </w:tcPr>
          <w:p>
            <w:pPr>
              <w:jc w:val="center"/>
              <w:spacing w:after="0"/>
              <w:rPr>
                <w:sz w:val="20"/>
                <w:szCs w:val="20"/>
                <w:color w:val="auto"/>
              </w:rPr>
            </w:pPr>
            <w:r>
              <w:rPr>
                <w:rFonts w:ascii="Courier New" w:cs="Courier New" w:eastAsia="Courier New" w:hAnsi="Courier New"/>
                <w:sz w:val="18"/>
                <w:szCs w:val="18"/>
                <w:color w:val="auto"/>
                <w:w w:val="97"/>
              </w:rPr>
              <w:t>12/31/94</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Churchill Downs</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$111</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86"/>
              </w:rPr>
              <w:t>174</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219</w:t>
            </w:r>
          </w:p>
        </w:tc>
        <w:tc>
          <w:tcPr>
            <w:tcW w:w="1000" w:type="dxa"/>
            <w:vAlign w:val="bottom"/>
          </w:tcPr>
          <w:p>
            <w:pPr>
              <w:jc w:val="center"/>
              <w:spacing w:after="0"/>
              <w:rPr>
                <w:sz w:val="20"/>
                <w:szCs w:val="20"/>
                <w:color w:val="auto"/>
              </w:rPr>
            </w:pPr>
            <w:r>
              <w:rPr>
                <w:rFonts w:ascii="Courier New" w:cs="Courier New" w:eastAsia="Courier New" w:hAnsi="Courier New"/>
                <w:sz w:val="18"/>
                <w:szCs w:val="18"/>
                <w:color w:val="auto"/>
                <w:w w:val="97"/>
              </w:rPr>
              <w:t>$261</w:t>
            </w:r>
          </w:p>
        </w:tc>
        <w:tc>
          <w:tcPr>
            <w:tcW w:w="880" w:type="dxa"/>
            <w:vAlign w:val="bottom"/>
          </w:tcPr>
          <w:p>
            <w:pPr>
              <w:jc w:val="center"/>
              <w:spacing w:after="0"/>
              <w:rPr>
                <w:sz w:val="20"/>
                <w:szCs w:val="20"/>
                <w:color w:val="auto"/>
              </w:rPr>
            </w:pPr>
            <w:r>
              <w:rPr>
                <w:rFonts w:ascii="Courier New" w:cs="Courier New" w:eastAsia="Courier New" w:hAnsi="Courier New"/>
                <w:sz w:val="18"/>
                <w:szCs w:val="18"/>
                <w:color w:val="auto"/>
                <w:w w:val="97"/>
              </w:rPr>
              <w:t>$213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Wilshire 5000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86"/>
              </w:rPr>
              <w:t>136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150</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$165</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$165</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Peer Group</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$139</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$ 81</w:t>
            </w:r>
          </w:p>
        </w:tc>
      </w:tr>
    </w:tbl>
    <w:p>
      <w:pPr>
        <w:sectPr>
          <w:pgSz w:w="11900" w:h="16838" w:orient="portrait"/>
          <w:cols w:equalWidth="0" w:num="1">
            <w:col w:w="10219"/>
          </w:cols>
          <w:pgMar w:left="240" w:top="919" w:right="1440" w:bottom="1440" w:gutter="0" w:footer="0" w:header="0"/>
        </w:sectPr>
      </w:pPr>
    </w:p>
    <w:bookmarkStart w:id="22" w:name="page23"/>
    <w:bookmarkEnd w:id="22"/>
    <w:p>
      <w:pPr>
        <w:ind w:left="3060"/>
        <w:spacing w:after="0"/>
        <w:rPr>
          <w:sz w:val="20"/>
          <w:szCs w:val="20"/>
          <w:color w:val="auto"/>
        </w:rPr>
      </w:pPr>
      <w:r>
        <w:rPr>
          <w:rFonts w:ascii="Courier New" w:cs="Courier New" w:eastAsia="Courier New" w:hAnsi="Courier New"/>
          <w:sz w:val="18"/>
          <w:szCs w:val="18"/>
          <w:color w:val="auto"/>
        </w:rPr>
        <w:t>EXECUTIVE COMPENSATION</w:t>
      </w:r>
    </w:p>
    <w:p>
      <w:pPr>
        <w:spacing w:after="0" w:line="207" w:lineRule="exact"/>
        <w:rPr>
          <w:sz w:val="20"/>
          <w:szCs w:val="20"/>
          <w:color w:val="auto"/>
        </w:rPr>
      </w:pPr>
    </w:p>
    <w:p>
      <w:pPr>
        <w:jc w:val="both"/>
        <w:ind w:right="1779" w:firstLine="737"/>
        <w:spacing w:after="0" w:line="237" w:lineRule="auto"/>
        <w:rPr>
          <w:sz w:val="20"/>
          <w:szCs w:val="20"/>
          <w:color w:val="auto"/>
        </w:rPr>
      </w:pPr>
      <w:r>
        <w:rPr>
          <w:rFonts w:ascii="Courier New" w:cs="Courier New" w:eastAsia="Courier New" w:hAnsi="Courier New"/>
          <w:sz w:val="18"/>
          <w:szCs w:val="18"/>
          <w:color w:val="auto"/>
        </w:rPr>
        <w:t>The following table sets forth the remuneration paid during the last three (3) fiscal years by the Company to [i] Mr. Meeker, the President and CEO of the Company, and [ii] each of the Company's four (4) most highly compensated executive officers whose total annual salary and bonus exceeded $100,000 in fiscal year 1994 (collectively the "named executive officers").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5160" w:type="dxa"/>
            <w:vAlign w:val="bottom"/>
            <w:gridSpan w:val="5"/>
          </w:tcPr>
          <w:p>
            <w:pPr>
              <w:ind w:left="1700"/>
              <w:spacing w:after="0"/>
              <w:rPr>
                <w:sz w:val="20"/>
                <w:szCs w:val="20"/>
                <w:color w:val="auto"/>
              </w:rPr>
            </w:pPr>
            <w:r>
              <w:rPr>
                <w:rFonts w:ascii="Courier New" w:cs="Courier New" w:eastAsia="Courier New" w:hAnsi="Courier New"/>
                <w:sz w:val="18"/>
                <w:szCs w:val="18"/>
                <w:color w:val="auto"/>
              </w:rPr>
              <w:t>SUMMARY COMPENSATION TABLE</w:t>
            </w: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1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rPr>
              <w:t>ANNUAL COMPENSATION</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LONG</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ALL</w:t>
            </w:r>
          </w:p>
        </w:tc>
      </w:tr>
      <w:tr>
        <w:trPr>
          <w:trHeight w:val="203"/>
        </w:trPr>
        <w:tc>
          <w:tcPr>
            <w:tcW w:w="18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 &amp;</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TERM</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1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COMPEN-</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COMPENSA-</w:t>
            </w:r>
          </w:p>
        </w:tc>
      </w:tr>
      <w:tr>
        <w:trPr>
          <w:trHeight w:val="203"/>
        </w:trPr>
        <w:tc>
          <w:tcPr>
            <w:tcW w:w="1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POSITION</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w:t>
            </w: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SATION</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TION(4)</w:t>
            </w:r>
          </w:p>
        </w:tc>
      </w:tr>
      <w:tr>
        <w:trPr>
          <w:trHeight w:val="405"/>
        </w:trPr>
        <w:tc>
          <w:tcPr>
            <w:tcW w:w="1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OTHER</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w w:val="94"/>
              </w:rPr>
              <w:t>SECURITIES</w:t>
            </w:r>
          </w:p>
        </w:tc>
        <w:tc>
          <w:tcPr>
            <w:tcW w:w="960" w:type="dxa"/>
            <w:vAlign w:val="bottom"/>
          </w:tcPr>
          <w:p>
            <w:pPr>
              <w:spacing w:after="0"/>
              <w:rPr>
                <w:sz w:val="24"/>
                <w:szCs w:val="24"/>
                <w:color w:val="auto"/>
              </w:rPr>
            </w:pPr>
          </w:p>
        </w:tc>
      </w:tr>
      <w:tr>
        <w:trPr>
          <w:trHeight w:val="203"/>
        </w:trPr>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SALARY BONUS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ANNUAL</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UNDERLYING</w:t>
            </w:r>
          </w:p>
        </w:tc>
        <w:tc>
          <w:tcPr>
            <w:tcW w:w="960" w:type="dxa"/>
            <w:vAlign w:val="bottom"/>
          </w:tcPr>
          <w:p>
            <w:pPr>
              <w:spacing w:after="0"/>
              <w:rPr>
                <w:sz w:val="17"/>
                <w:szCs w:val="17"/>
                <w:color w:val="auto"/>
              </w:rPr>
            </w:pPr>
          </w:p>
        </w:tc>
      </w:tr>
      <w:tr>
        <w:trPr>
          <w:trHeight w:val="203"/>
        </w:trPr>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c>
          <w:tcPr>
            <w:tcW w:w="840" w:type="dxa"/>
            <w:vAlign w:val="bottom"/>
          </w:tcPr>
          <w:p>
            <w:pPr>
              <w:spacing w:after="0"/>
              <w:rPr>
                <w:sz w:val="17"/>
                <w:szCs w:val="17"/>
                <w:color w:val="auto"/>
              </w:rPr>
            </w:pPr>
          </w:p>
        </w:tc>
        <w:tc>
          <w:tcPr>
            <w:tcW w:w="30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COMPENSA- OPTIONS/SARs</w:t>
            </w:r>
          </w:p>
        </w:tc>
      </w:tr>
      <w:tr>
        <w:trPr>
          <w:trHeight w:val="203"/>
        </w:trPr>
        <w:tc>
          <w:tcPr>
            <w:tcW w:w="1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TION(3)</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spacing w:after="0"/>
              <w:rPr>
                <w:sz w:val="17"/>
                <w:szCs w:val="17"/>
                <w:color w:val="auto"/>
              </w:rPr>
            </w:pP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w w:val="99"/>
              </w:rPr>
              <w:t>Thomas H. Meeker, 1994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$245,000</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$73,868</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$49,463</w:t>
            </w:r>
          </w:p>
        </w:tc>
        <w:tc>
          <w:tcPr>
            <w:tcW w:w="1160" w:type="dxa"/>
            <w:vAlign w:val="bottom"/>
          </w:tcPr>
          <w:p>
            <w:pPr>
              <w:ind w:left="320"/>
              <w:spacing w:after="0"/>
              <w:rPr>
                <w:sz w:val="20"/>
                <w:szCs w:val="20"/>
                <w:color w:val="auto"/>
              </w:rPr>
            </w:pPr>
            <w:r>
              <w:rPr>
                <w:rFonts w:ascii="Courier New" w:cs="Courier New" w:eastAsia="Courier New" w:hAnsi="Courier New"/>
                <w:sz w:val="18"/>
                <w:szCs w:val="18"/>
                <w:color w:val="auto"/>
              </w:rPr>
              <w:t>10,000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$12,711</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President and CEO 1993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217,250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101,673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43,645</w:t>
            </w:r>
          </w:p>
        </w:tc>
        <w:tc>
          <w:tcPr>
            <w:tcW w:w="1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50,700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20,088</w:t>
            </w:r>
          </w:p>
        </w:tc>
      </w:tr>
      <w:tr>
        <w:trPr>
          <w:trHeight w:val="203"/>
        </w:trPr>
        <w:tc>
          <w:tcPr>
            <w:tcW w:w="1860" w:type="dxa"/>
            <w:vAlign w:val="bottom"/>
          </w:tcPr>
          <w:p>
            <w:pPr>
              <w:spacing w:after="0"/>
              <w:rPr>
                <w:sz w:val="17"/>
                <w:szCs w:val="17"/>
                <w:color w:val="auto"/>
              </w:rPr>
            </w:pP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230,000</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52,456</w:t>
            </w:r>
          </w:p>
        </w:tc>
        <w:tc>
          <w:tcPr>
            <w:tcW w:w="116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8"/>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17,672</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David E. Carrico</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86,607</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21,574</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9"/>
              </w:rPr>
              <w:t>1,750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7,867</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68,000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18,471</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9"/>
              </w:rPr>
              <w:t>6,000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6,304</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of</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60,000</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8"/>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5,516</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Administration</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1860" w:type="dxa"/>
            <w:vAlign w:val="bottom"/>
          </w:tcPr>
          <w:p>
            <w:pPr>
              <w:spacing w:after="0"/>
              <w:rPr>
                <w:sz w:val="20"/>
                <w:szCs w:val="20"/>
                <w:color w:val="auto"/>
              </w:rPr>
            </w:pPr>
            <w:r>
              <w:rPr>
                <w:rFonts w:ascii="Courier New" w:cs="Courier New" w:eastAsia="Courier New" w:hAnsi="Courier New"/>
                <w:sz w:val="18"/>
                <w:szCs w:val="18"/>
                <w:color w:val="auto"/>
              </w:rPr>
              <w:t>Dan L. Parkerson,</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94,108</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22,512</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9"/>
              </w:rPr>
              <w:t>1,750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9,188</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78,883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28,695</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9"/>
              </w:rPr>
              <w:t>6,000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7,061</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of</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76,000</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8"/>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7,586</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 and</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Manager</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w w:val="99"/>
              </w:rPr>
              <w:t>Jeffrey M. Smith, 1994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93,581</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22,278</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9"/>
              </w:rPr>
              <w:t>2,000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9,171</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Vice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76,083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27,694</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9"/>
              </w:rPr>
              <w:t>9,000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8,133</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of</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100,000</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8"/>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7,009</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Planning and</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Development</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10"/>
        </w:trPr>
        <w:tc>
          <w:tcPr>
            <w:tcW w:w="1860" w:type="dxa"/>
            <w:vAlign w:val="bottom"/>
          </w:tcPr>
          <w:p>
            <w:pPr>
              <w:spacing w:after="0"/>
              <w:rPr>
                <w:sz w:val="20"/>
                <w:szCs w:val="20"/>
                <w:color w:val="auto"/>
              </w:rPr>
            </w:pPr>
            <w:r>
              <w:rPr>
                <w:rFonts w:ascii="Courier New" w:cs="Courier New" w:eastAsia="Courier New" w:hAnsi="Courier New"/>
                <w:sz w:val="18"/>
                <w:szCs w:val="18"/>
                <w:color w:val="auto"/>
              </w:rPr>
              <w:t>Alexander M.</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88,821</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21,574</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9"/>
              </w:rPr>
              <w:t>2,000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8,113</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Waldrop, Senior</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75,167</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19,543</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9"/>
              </w:rPr>
              <w:t>9,000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1992</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34,375</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w:t>
            </w:r>
          </w:p>
        </w:tc>
        <w:tc>
          <w:tcPr>
            <w:tcW w:w="1160" w:type="dxa"/>
            <w:vAlign w:val="bottom"/>
          </w:tcPr>
          <w:p>
            <w:pPr>
              <w:jc w:val="center"/>
              <w:ind w:left="152"/>
              <w:spacing w:after="0" w:line="203" w:lineRule="exact"/>
              <w:rPr>
                <w:sz w:val="20"/>
                <w:szCs w:val="20"/>
                <w:color w:val="auto"/>
              </w:rPr>
            </w:pPr>
            <w:r>
              <w:rPr>
                <w:rFonts w:ascii="Courier New" w:cs="Courier New" w:eastAsia="Courier New" w:hAnsi="Courier New"/>
                <w:sz w:val="18"/>
                <w:szCs w:val="18"/>
                <w:color w:val="auto"/>
                <w:w w:val="98"/>
              </w:rPr>
              <w:t>-0-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Counsel</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Secretary(5)</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left="540" w:right="1779" w:hanging="532"/>
        <w:spacing w:after="0" w:line="273" w:lineRule="auto"/>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November 18, 1993, the Company amended its Articles of Incorporation to change its fiscal year from January 31 to December 31. Annual compensation for 1993 is based upon actual compensation paid by the Company to the named executive officers for the eleven months ended December 1993. Annual compensation figures for 1992 and 1994 include a twelve month period.</w:t>
      </w:r>
    </w:p>
    <w:p>
      <w:pPr>
        <w:spacing w:after="0" w:line="184" w:lineRule="exact"/>
        <w:rPr>
          <w:rFonts w:ascii="Courier New" w:cs="Courier New" w:eastAsia="Courier New" w:hAnsi="Courier New"/>
          <w:sz w:val="16"/>
          <w:szCs w:val="16"/>
          <w:color w:val="auto"/>
        </w:rPr>
      </w:pPr>
    </w:p>
    <w:p>
      <w:pPr>
        <w:ind w:left="540" w:right="1779" w:hanging="532"/>
        <w:spacing w:after="0" w:line="236"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awards were paid in cash and/or stock pursuant to the Company's Incentive Compensation Plan or otherwise. See "Compensation Committee Report on Executive Compensation."</w:t>
      </w:r>
    </w:p>
    <w:p>
      <w:pPr>
        <w:spacing w:after="0" w:line="208" w:lineRule="exact"/>
        <w:rPr>
          <w:rFonts w:ascii="Courier New" w:cs="Courier New" w:eastAsia="Courier New" w:hAnsi="Courier New"/>
          <w:sz w:val="18"/>
          <w:szCs w:val="18"/>
          <w:color w:val="auto"/>
        </w:rPr>
      </w:pPr>
    </w:p>
    <w:p>
      <w:pPr>
        <w:jc w:val="both"/>
        <w:ind w:left="540" w:right="177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above-market earnings on compensation deferred under the Company's Incentive Compensation Plan and the expense of a Supplemental Benefit Plan of which Mr. Meeker is currently the only participant. See the discussion regarding the Supplemental Benefit Plan below.</w:t>
      </w:r>
    </w:p>
    <w:p>
      <w:pPr>
        <w:sectPr>
          <w:pgSz w:w="11900" w:h="16838" w:orient="portrait"/>
          <w:cols w:equalWidth="0" w:num="1">
            <w:col w:w="10219"/>
          </w:cols>
          <w:pgMar w:left="240" w:top="717" w:right="1440" w:bottom="970" w:gutter="0" w:footer="0" w:header="0"/>
        </w:sectPr>
      </w:pPr>
    </w:p>
    <w:bookmarkStart w:id="23" w:name="page24"/>
    <w:bookmarkEnd w:id="23"/>
    <w:p>
      <w:pPr>
        <w:jc w:val="both"/>
        <w:ind w:left="532" w:right="1779" w:hanging="532"/>
        <w:spacing w:after="0" w:line="273" w:lineRule="auto"/>
        <w:tabs>
          <w:tab w:leader="none" w:pos="53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life insurance premiums paid by the Company with respect to certain term life insurance payable on the officer's death to beneficiaries designated by him and further, includes amounts contributed by the Company to the officer's account under the Company's Profit Sharing Plan. Amounts attributable to such term life insurance are as follows:</w:t>
      </w:r>
    </w:p>
    <w:p>
      <w:pPr>
        <w:spacing w:after="0" w:line="382"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MR. MEEKER</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MR. CARRICO</w:t>
            </w:r>
          </w:p>
        </w:tc>
        <w:tc>
          <w:tcPr>
            <w:tcW w:w="15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MR.PARKERSON</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MR. SMITH</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MR. WALDROP</w:t>
            </w:r>
          </w:p>
        </w:tc>
      </w:tr>
      <w:tr>
        <w:trPr>
          <w:trHeight w:val="405"/>
        </w:trPr>
        <w:tc>
          <w:tcPr>
            <w:tcW w:w="8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1994</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$2,864</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$247</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$791</w:t>
            </w:r>
          </w:p>
        </w:tc>
        <w:tc>
          <w:tcPr>
            <w:tcW w:w="12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$278</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$167</w:t>
            </w:r>
          </w:p>
        </w:tc>
      </w:tr>
      <w:tr>
        <w:trPr>
          <w:trHeight w:val="203"/>
        </w:trPr>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1993</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2,909</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247</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812</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288</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132</w:t>
            </w:r>
          </w:p>
        </w:tc>
      </w:tr>
      <w:tr>
        <w:trPr>
          <w:trHeight w:val="203"/>
        </w:trPr>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1992</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2,047</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175</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588</w:t>
            </w:r>
          </w:p>
        </w:tc>
        <w:tc>
          <w:tcPr>
            <w:tcW w:w="12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w:t>
            </w:r>
          </w:p>
        </w:tc>
      </w:tr>
    </w:tbl>
    <w:p>
      <w:pPr>
        <w:spacing w:after="0" w:line="200" w:lineRule="exact"/>
        <w:rPr>
          <w:sz w:val="20"/>
          <w:szCs w:val="20"/>
          <w:color w:val="auto"/>
        </w:rPr>
      </w:pPr>
    </w:p>
    <w:p>
      <w:pPr>
        <w:spacing w:after="0" w:line="209" w:lineRule="exact"/>
        <w:rPr>
          <w:sz w:val="20"/>
          <w:szCs w:val="20"/>
          <w:color w:val="auto"/>
        </w:rPr>
      </w:pPr>
    </w:p>
    <w:p>
      <w:pPr>
        <w:jc w:val="both"/>
        <w:ind w:left="532" w:right="1779"/>
        <w:spacing w:after="0" w:line="237" w:lineRule="auto"/>
        <w:rPr>
          <w:sz w:val="20"/>
          <w:szCs w:val="20"/>
          <w:color w:val="auto"/>
        </w:rPr>
      </w:pPr>
      <w:r>
        <w:rPr>
          <w:rFonts w:ascii="Courier New" w:cs="Courier New" w:eastAsia="Courier New" w:hAnsi="Courier New"/>
          <w:sz w:val="18"/>
          <w:szCs w:val="18"/>
          <w:color w:val="auto"/>
        </w:rPr>
        <w:t>Pursuant to the Company's Profit Sharing Plan, the Company matches employees' contributions (which are limited to 10% of annual compensation up to $9,240 for calendar year 1994) up to 2% of quarterly contributions and also makes discretionary contributions. Amounts contributed by the Company on behalf of the named executive officers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MR. MEEKER</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MR. CARRICO</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MR.PARKERSON</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MR. SMITH</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MR. WALDROP</w:t>
            </w:r>
          </w:p>
        </w:tc>
      </w:tr>
      <w:tr>
        <w:trPr>
          <w:trHeight w:val="405"/>
        </w:trPr>
        <w:tc>
          <w:tcPr>
            <w:tcW w:w="8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1994</w:t>
            </w:r>
          </w:p>
        </w:tc>
        <w:tc>
          <w:tcPr>
            <w:tcW w:w="15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$ 9,847</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$7,620</w:t>
            </w: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$8,397</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$8,893</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$7,946</w:t>
            </w:r>
          </w:p>
        </w:tc>
      </w:tr>
      <w:tr>
        <w:trPr>
          <w:trHeight w:val="203"/>
        </w:trPr>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1993</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17,179</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6,057</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6,249</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7,845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1992</w:t>
            </w:r>
          </w:p>
        </w:tc>
        <w:tc>
          <w:tcPr>
            <w:tcW w:w="15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15,935</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5,341</w:t>
            </w: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6,998</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6,874</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9" w:lineRule="exact"/>
        <w:rPr>
          <w:sz w:val="20"/>
          <w:szCs w:val="20"/>
          <w:color w:val="auto"/>
        </w:rPr>
      </w:pPr>
    </w:p>
    <w:p>
      <w:pPr>
        <w:ind w:left="532" w:right="1779" w:hanging="532"/>
        <w:spacing w:after="0" w:line="235" w:lineRule="auto"/>
        <w:tabs>
          <w:tab w:leader="none" w:pos="5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Waldrop was employed by the Company in August, 1992 and his compensation for 1992 reflects less than six months of service.</w:t>
      </w:r>
    </w:p>
    <w:p>
      <w:pPr>
        <w:sectPr>
          <w:pgSz w:w="11900" w:h="16838" w:orient="portrait"/>
          <w:cols w:equalWidth="0" w:num="1">
            <w:col w:w="10211"/>
          </w:cols>
          <w:pgMar w:left="248" w:top="723" w:right="1440" w:bottom="1440" w:gutter="0" w:footer="0" w:header="0"/>
        </w:sectPr>
      </w:pPr>
    </w:p>
    <w:bookmarkStart w:id="24" w:name="page25"/>
    <w:bookmarkEnd w:id="24"/>
    <w:p>
      <w:pPr>
        <w:ind w:right="1779" w:firstLine="632"/>
        <w:spacing w:after="0" w:line="235" w:lineRule="auto"/>
        <w:rPr>
          <w:sz w:val="20"/>
          <w:szCs w:val="20"/>
          <w:color w:val="auto"/>
        </w:rPr>
      </w:pPr>
      <w:r>
        <w:rPr>
          <w:rFonts w:ascii="Courier New" w:cs="Courier New" w:eastAsia="Courier New" w:hAnsi="Courier New"/>
          <w:sz w:val="18"/>
          <w:szCs w:val="18"/>
          <w:color w:val="auto"/>
        </w:rPr>
        <w:t>The following table provides information with respect to the named executive officers concerning options granted during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4380" w:type="dxa"/>
            <w:vAlign w:val="bottom"/>
            <w:gridSpan w:val="4"/>
          </w:tcPr>
          <w:p>
            <w:pPr>
              <w:jc w:val="right"/>
              <w:ind w:right="292"/>
              <w:spacing w:after="0"/>
              <w:rPr>
                <w:sz w:val="20"/>
                <w:szCs w:val="20"/>
                <w:color w:val="auto"/>
              </w:rPr>
            </w:pPr>
            <w:r>
              <w:rPr>
                <w:rFonts w:ascii="Courier New" w:cs="Courier New" w:eastAsia="Courier New" w:hAnsi="Courier New"/>
                <w:sz w:val="18"/>
                <w:szCs w:val="18"/>
                <w:color w:val="auto"/>
              </w:rPr>
              <w:t>OPTION GRANTS IN LAST FISCAL YEAR</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05"/>
        </w:trPr>
        <w:tc>
          <w:tcPr>
            <w:tcW w:w="1900" w:type="dxa"/>
            <w:vAlign w:val="bottom"/>
          </w:tcPr>
          <w:p>
            <w:pPr>
              <w:spacing w:after="0"/>
              <w:rPr>
                <w:sz w:val="24"/>
                <w:szCs w:val="24"/>
                <w:color w:val="auto"/>
              </w:rPr>
            </w:pPr>
          </w:p>
        </w:tc>
        <w:tc>
          <w:tcPr>
            <w:tcW w:w="342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INDIVIDUAL GRANTS</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ind w:left="260"/>
              <w:spacing w:after="0"/>
              <w:rPr>
                <w:sz w:val="20"/>
                <w:szCs w:val="20"/>
                <w:color w:val="auto"/>
              </w:rPr>
            </w:pPr>
            <w:r>
              <w:rPr>
                <w:rFonts w:ascii="Courier New" w:cs="Courier New" w:eastAsia="Courier New" w:hAnsi="Courier New"/>
                <w:sz w:val="18"/>
                <w:szCs w:val="18"/>
                <w:color w:val="auto"/>
              </w:rPr>
              <w:t>GRANT</w:t>
            </w:r>
          </w:p>
        </w:tc>
      </w:tr>
      <w:tr>
        <w:trPr>
          <w:trHeight w:val="203"/>
        </w:trPr>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DATE</w:t>
            </w:r>
          </w:p>
        </w:tc>
      </w:tr>
      <w:tr>
        <w:trPr>
          <w:trHeight w:val="203"/>
        </w:trPr>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VALUE(3)</w:t>
            </w:r>
          </w:p>
        </w:tc>
      </w:tr>
      <w:tr>
        <w:trPr>
          <w:trHeight w:val="608"/>
        </w:trPr>
        <w:tc>
          <w:tcPr>
            <w:tcW w:w="1900" w:type="dxa"/>
            <w:vAlign w:val="bottom"/>
          </w:tcPr>
          <w:p>
            <w:pPr>
              <w:spacing w:after="0"/>
              <w:rPr>
                <w:sz w:val="24"/>
                <w:szCs w:val="24"/>
                <w:color w:val="auto"/>
              </w:rPr>
            </w:pPr>
          </w:p>
        </w:tc>
        <w:tc>
          <w:tcPr>
            <w:tcW w:w="126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6"/>
              </w:rPr>
              <w:t>NUMBER OF</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 OF TOTAL</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900" w:type="dxa"/>
            <w:vAlign w:val="bottom"/>
          </w:tcPr>
          <w:p>
            <w:pPr>
              <w:spacing w:after="0"/>
              <w:rPr>
                <w:sz w:val="17"/>
                <w:szCs w:val="17"/>
                <w:color w:val="auto"/>
              </w:rPr>
            </w:pP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OPTIONS</w:t>
            </w:r>
          </w:p>
        </w:tc>
        <w:tc>
          <w:tcPr>
            <w:tcW w:w="1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4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UNDERLYING GRANTED</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EXERCISE</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MARKET</w:t>
            </w:r>
          </w:p>
        </w:tc>
        <w:tc>
          <w:tcPr>
            <w:tcW w:w="1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GRANT DATE</w:t>
            </w:r>
          </w:p>
        </w:tc>
      </w:tr>
      <w:tr>
        <w:trPr>
          <w:trHeight w:val="203"/>
        </w:trPr>
        <w:tc>
          <w:tcPr>
            <w:tcW w:w="1900" w:type="dxa"/>
            <w:vAlign w:val="bottom"/>
          </w:tcPr>
          <w:p>
            <w:pPr>
              <w:spacing w:after="0"/>
              <w:rPr>
                <w:sz w:val="17"/>
                <w:szCs w:val="17"/>
                <w:color w:val="auto"/>
              </w:rPr>
            </w:pP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OPTIONS</w:t>
            </w: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TO</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OR BASE</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PRICE</w:t>
            </w:r>
          </w:p>
        </w:tc>
        <w:tc>
          <w:tcPr>
            <w:tcW w:w="1360" w:type="dxa"/>
            <w:vAlign w:val="bottom"/>
          </w:tcPr>
          <w:p>
            <w:pPr>
              <w:spacing w:after="0"/>
              <w:rPr>
                <w:sz w:val="17"/>
                <w:szCs w:val="17"/>
                <w:color w:val="auto"/>
              </w:rPr>
            </w:pPr>
          </w:p>
        </w:tc>
        <w:tc>
          <w:tcPr>
            <w:tcW w:w="1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PRESENT</w:t>
            </w:r>
          </w:p>
        </w:tc>
      </w:tr>
      <w:tr>
        <w:trPr>
          <w:trHeight w:val="203"/>
        </w:trPr>
        <w:tc>
          <w:tcPr>
            <w:tcW w:w="1900" w:type="dxa"/>
            <w:vAlign w:val="bottom"/>
          </w:tcPr>
          <w:p>
            <w:pPr>
              <w:spacing w:after="0"/>
              <w:rPr>
                <w:sz w:val="17"/>
                <w:szCs w:val="17"/>
                <w:color w:val="auto"/>
              </w:rPr>
            </w:pP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GRANTED</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EMPLOYEES</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PRICE</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ON</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EXPIRATION</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1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Name</w:t>
            </w:r>
          </w:p>
        </w:tc>
        <w:tc>
          <w:tcPr>
            <w:tcW w:w="126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2"/>
              </w:rPr>
              <w:t>(1)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IN FISCAL</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($/SH)(2)</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DATE</w:t>
            </w:r>
          </w:p>
        </w:tc>
        <w:tc>
          <w:tcPr>
            <w:tcW w:w="13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DATE</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YEAR</w:t>
            </w:r>
          </w:p>
        </w:tc>
        <w:tc>
          <w:tcPr>
            <w:tcW w:w="100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GRANT</w:t>
            </w:r>
          </w:p>
        </w:tc>
        <w:tc>
          <w:tcPr>
            <w:tcW w:w="1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08"/>
        </w:trPr>
        <w:tc>
          <w:tcPr>
            <w:tcW w:w="1900" w:type="dxa"/>
            <w:vAlign w:val="bottom"/>
          </w:tcPr>
          <w:p>
            <w:pPr>
              <w:spacing w:after="0"/>
              <w:rPr>
                <w:sz w:val="20"/>
                <w:szCs w:val="20"/>
                <w:color w:val="auto"/>
              </w:rPr>
            </w:pPr>
            <w:r>
              <w:rPr>
                <w:rFonts w:ascii="Courier New" w:cs="Courier New" w:eastAsia="Courier New" w:hAnsi="Courier New"/>
                <w:sz w:val="18"/>
                <w:szCs w:val="18"/>
                <w:color w:val="auto"/>
              </w:rPr>
              <w:t>Thomas H. Meeker</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2,272</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3/15/2004</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$58,686</w:t>
            </w:r>
          </w:p>
        </w:tc>
      </w:tr>
      <w:tr>
        <w:trPr>
          <w:trHeight w:val="203"/>
        </w:trPr>
        <w:tc>
          <w:tcPr>
            <w:tcW w:w="19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2,728</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3/15/2004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70,464</w:t>
            </w:r>
          </w:p>
        </w:tc>
      </w:tr>
      <w:tr>
        <w:trPr>
          <w:trHeight w:val="203"/>
        </w:trPr>
        <w:tc>
          <w:tcPr>
            <w:tcW w:w="19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2,352</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12/15/2004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57,412</w:t>
            </w:r>
          </w:p>
        </w:tc>
      </w:tr>
      <w:tr>
        <w:trPr>
          <w:trHeight w:val="203"/>
        </w:trPr>
        <w:tc>
          <w:tcPr>
            <w:tcW w:w="19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2,648</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13%</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12/15/2004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64,638</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David E. Carrico</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750</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3/15/2004</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19,373</w:t>
            </w:r>
          </w:p>
        </w:tc>
      </w:tr>
      <w:tr>
        <w:trPr>
          <w:trHeight w:val="203"/>
        </w:trPr>
        <w:tc>
          <w:tcPr>
            <w:tcW w:w="19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12/15/2004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24,410</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Dan L. Parkerson</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750</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4%</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3/15/2004</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19,373</w:t>
            </w:r>
          </w:p>
        </w:tc>
      </w:tr>
      <w:tr>
        <w:trPr>
          <w:trHeight w:val="203"/>
        </w:trPr>
        <w:tc>
          <w:tcPr>
            <w:tcW w:w="19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12/15/2004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24,410</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Jeffrey M. Smith</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3/15/2004</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25,830</w:t>
            </w:r>
          </w:p>
        </w:tc>
      </w:tr>
      <w:tr>
        <w:trPr>
          <w:trHeight w:val="203"/>
        </w:trPr>
        <w:tc>
          <w:tcPr>
            <w:tcW w:w="1900" w:type="dxa"/>
            <w:vAlign w:val="bottom"/>
          </w:tcPr>
          <w:p>
            <w:pPr>
              <w:spacing w:after="0"/>
              <w:rPr>
                <w:sz w:val="17"/>
                <w:szCs w:val="17"/>
                <w:color w:val="auto"/>
              </w:rPr>
            </w:pP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12/15/2004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24,410</w:t>
            </w:r>
          </w:p>
        </w:tc>
      </w:tr>
      <w:tr>
        <w:trPr>
          <w:trHeight w:val="405"/>
        </w:trPr>
        <w:tc>
          <w:tcPr>
            <w:tcW w:w="1900" w:type="dxa"/>
            <w:vAlign w:val="bottom"/>
          </w:tcPr>
          <w:p>
            <w:pPr>
              <w:spacing w:after="0"/>
              <w:rPr>
                <w:sz w:val="20"/>
                <w:szCs w:val="20"/>
                <w:color w:val="auto"/>
              </w:rPr>
            </w:pPr>
            <w:r>
              <w:rPr>
                <w:rFonts w:ascii="Courier New" w:cs="Courier New" w:eastAsia="Courier New" w:hAnsi="Courier New"/>
                <w:sz w:val="18"/>
                <w:szCs w:val="18"/>
                <w:color w:val="auto"/>
              </w:rPr>
              <w:t>Alexander M.</w:t>
            </w:r>
          </w:p>
        </w:tc>
        <w:tc>
          <w:tcPr>
            <w:tcW w:w="12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3/15/2004</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25,830</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Waldrop</w:t>
            </w:r>
          </w:p>
        </w:tc>
        <w:tc>
          <w:tcPr>
            <w:tcW w:w="12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12/15/2004</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24,410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firstLine="8"/>
        <w:spacing w:after="0" w:line="235"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8,500 options are exercisable beginning 3/15/97. 9,000 options are exercisable beginning 12/15/97.</w:t>
      </w:r>
    </w:p>
    <w:p>
      <w:pPr>
        <w:spacing w:after="0" w:line="208" w:lineRule="exact"/>
        <w:rPr>
          <w:rFonts w:ascii="Courier New" w:cs="Courier New" w:eastAsia="Courier New" w:hAnsi="Courier New"/>
          <w:sz w:val="18"/>
          <w:szCs w:val="18"/>
          <w:color w:val="auto"/>
        </w:rPr>
      </w:pPr>
    </w:p>
    <w:p>
      <w:pPr>
        <w:jc w:val="both"/>
        <w:ind w:right="1779" w:firstLine="8"/>
        <w:spacing w:after="0" w:line="271"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2,272 options and 2,352 options granted to Mr. Meeker are intended to qualify as incentive stock options under the Internal Revenue Code of 1986, as amended, and accordingly, the exercise price of these options is the fair market value of the shares as of the date of their grant. The 1,000 options granted to each of Messrs. Carrico, Parkerson, Smith and Waldrop on December 15, 1994 are also intended to qualify as incentive stock options under the Internal Revenue Code of 1986, as amended. All other options are non-qualified stock options. 8,500 options and 9,000 options, respectively, have been granted at an exercise price equal to the closing high bid price of the Company's Common Stock as of March 15, 1994 and December 15, 1994, respectively.</w:t>
      </w:r>
    </w:p>
    <w:p>
      <w:pPr>
        <w:spacing w:after="0" w:line="386" w:lineRule="exact"/>
        <w:rPr>
          <w:rFonts w:ascii="Courier New" w:cs="Courier New" w:eastAsia="Courier New" w:hAnsi="Courier New"/>
          <w:sz w:val="16"/>
          <w:szCs w:val="16"/>
          <w:color w:val="auto"/>
        </w:rPr>
      </w:pPr>
    </w:p>
    <w:p>
      <w:pPr>
        <w:jc w:val="both"/>
        <w:ind w:right="1779" w:firstLine="8"/>
        <w:spacing w:after="0" w:line="268"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are valued using the Cox-Ross-Rubinstein Binomial option pricing model, which is a variation of the Black-Scholes option pricing model. This calculation is based on the following assumptions: (i) an expected option term of eight years, (ii) an interest rate of 6.27% and 7.81% (March 15, 1994 and December 15, 1994, respectively) based on the quoted yield of U.S. Treasury Bonds on the date of grant maturing in eight years, (iii) a dividend yield of</w:t>
      </w:r>
    </w:p>
    <w:p>
      <w:pPr>
        <w:spacing w:after="0" w:line="1" w:lineRule="exact"/>
        <w:rPr>
          <w:rFonts w:ascii="Courier New" w:cs="Courier New" w:eastAsia="Courier New" w:hAnsi="Courier New"/>
          <w:sz w:val="16"/>
          <w:szCs w:val="16"/>
          <w:color w:val="auto"/>
        </w:rPr>
      </w:pP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.92% and 1.04% (March 15, 1994 and December 15, 1994, respectively) per share, and (iv) a stock price volatility of 26.49% and 21.25% (March 15, 1994 and December 15, 1994, respectively) based upon the average closing price of the 250-day period preceding the grant date. Based on these assumptions, the value of the nonqualifying options was determined to be $25.83 and $24.41 (March 15, 1994 and December 15, 1994, respectively) per share and the value of the incentive stock options was determined to be $25.83 and $24.41 (March 15, 1994 and December 15, 1994, respectively) per share.</w:t>
      </w:r>
    </w:p>
    <w:p>
      <w:pPr>
        <w:sectPr>
          <w:pgSz w:w="11900" w:h="16838" w:orient="portrait"/>
          <w:cols w:equalWidth="0" w:num="1">
            <w:col w:w="10219"/>
          </w:cols>
          <w:pgMar w:left="240" w:top="925" w:right="1440" w:bottom="1440" w:gutter="0" w:footer="0" w:header="0"/>
        </w:sectPr>
      </w:pPr>
    </w:p>
    <w:bookmarkStart w:id="25" w:name="page26"/>
    <w:bookmarkEnd w:id="25"/>
    <w:p>
      <w:pPr>
        <w:ind w:right="1779" w:firstLine="632"/>
        <w:spacing w:after="0" w:line="290" w:lineRule="auto"/>
        <w:rPr>
          <w:sz w:val="20"/>
          <w:szCs w:val="20"/>
          <w:color w:val="auto"/>
        </w:rPr>
      </w:pPr>
      <w:r>
        <w:rPr>
          <w:rFonts w:ascii="Courier New" w:cs="Courier New" w:eastAsia="Courier New" w:hAnsi="Courier New"/>
          <w:sz w:val="16"/>
          <w:szCs w:val="16"/>
          <w:color w:val="auto"/>
        </w:rPr>
        <w:t>The following table provides information with respect to the named executive officers concerning unexercised options held as of December 31, 1994:</w:t>
      </w:r>
    </w:p>
    <w:p>
      <w:pPr>
        <w:spacing w:after="0" w:line="16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AGGREGATE YEAR-END OPTION VALUES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5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VALUE OF UNEXERCISED</w:t>
            </w:r>
          </w:p>
        </w:tc>
      </w:tr>
      <w:tr>
        <w:trPr>
          <w:trHeight w:val="203"/>
        </w:trPr>
        <w:tc>
          <w:tcPr>
            <w:tcW w:w="2700" w:type="dxa"/>
            <w:vAlign w:val="bottom"/>
          </w:tcPr>
          <w:p>
            <w:pPr>
              <w:spacing w:after="0"/>
              <w:rPr>
                <w:sz w:val="17"/>
                <w:szCs w:val="17"/>
                <w:color w:val="auto"/>
              </w:rPr>
            </w:pPr>
          </w:p>
        </w:tc>
        <w:tc>
          <w:tcPr>
            <w:tcW w:w="3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NUMBER OF UNEXERCISED</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IN-THE-MONEY OPTIONS AT</w:t>
            </w:r>
          </w:p>
        </w:tc>
      </w:tr>
      <w:tr>
        <w:trPr>
          <w:trHeight w:val="203"/>
        </w:trPr>
        <w:tc>
          <w:tcPr>
            <w:tcW w:w="27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NAME</w:t>
            </w:r>
          </w:p>
        </w:tc>
        <w:tc>
          <w:tcPr>
            <w:tcW w:w="3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OPTIONS AT YEAR END</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YEAR END (1)EXERCISABLE/</w:t>
            </w:r>
          </w:p>
        </w:tc>
      </w:tr>
      <w:tr>
        <w:trPr>
          <w:trHeight w:val="203"/>
        </w:trPr>
        <w:tc>
          <w:tcPr>
            <w:tcW w:w="2700" w:type="dxa"/>
            <w:vAlign w:val="bottom"/>
          </w:tcPr>
          <w:p>
            <w:pPr>
              <w:spacing w:after="0"/>
              <w:rPr>
                <w:sz w:val="17"/>
                <w:szCs w:val="17"/>
                <w:color w:val="auto"/>
              </w:rPr>
            </w:pPr>
          </w:p>
        </w:tc>
        <w:tc>
          <w:tcPr>
            <w:tcW w:w="31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9"/>
              </w:rPr>
              <w:t>EXERCISABLE/UNEXERCISABLE</w:t>
            </w:r>
          </w:p>
        </w:tc>
        <w:tc>
          <w:tcPr>
            <w:tcW w:w="2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UNEXERCISABLE</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Thomas H. Meeker</w:t>
            </w:r>
          </w:p>
        </w:tc>
        <w:tc>
          <w:tcPr>
            <w:tcW w:w="3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16,900/43,800</w:t>
            </w:r>
          </w:p>
        </w:tc>
        <w:tc>
          <w:tcPr>
            <w:tcW w:w="25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$0/7,500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E. Carrico</w:t>
            </w:r>
          </w:p>
        </w:tc>
        <w:tc>
          <w:tcPr>
            <w:tcW w:w="3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2,000/5,750</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0/1,500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Dan L. Parkerson</w:t>
            </w:r>
          </w:p>
        </w:tc>
        <w:tc>
          <w:tcPr>
            <w:tcW w:w="3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2,000/5,750</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0/1,500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Jeffrey M. Smith</w:t>
            </w:r>
          </w:p>
        </w:tc>
        <w:tc>
          <w:tcPr>
            <w:tcW w:w="3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3,000/8,000</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0/1,500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Alexander M. Waldrop</w:t>
            </w:r>
          </w:p>
        </w:tc>
        <w:tc>
          <w:tcPr>
            <w:tcW w:w="3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3,000/8,000</w:t>
            </w:r>
          </w:p>
        </w:tc>
        <w:tc>
          <w:tcPr>
            <w:tcW w:w="2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0/1,500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2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779" w:firstLine="8"/>
        <w:spacing w:after="0" w:line="235" w:lineRule="auto"/>
        <w:tabs>
          <w:tab w:leader="none" w:pos="42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high bid as of the last trading day of 1994 (December 30, 1994) minus the exercise price.</w:t>
      </w:r>
    </w:p>
    <w:p>
      <w:pPr>
        <w:spacing w:after="0" w:line="208" w:lineRule="exact"/>
        <w:rPr>
          <w:sz w:val="20"/>
          <w:szCs w:val="20"/>
          <w:color w:val="auto"/>
        </w:rPr>
      </w:pPr>
    </w:p>
    <w:p>
      <w:pPr>
        <w:jc w:val="both"/>
        <w:ind w:right="1779" w:firstLine="1264"/>
        <w:spacing w:after="0" w:line="270" w:lineRule="auto"/>
        <w:rPr>
          <w:sz w:val="20"/>
          <w:szCs w:val="20"/>
          <w:color w:val="auto"/>
        </w:rPr>
      </w:pPr>
      <w:r>
        <w:rPr>
          <w:rFonts w:ascii="Courier New" w:cs="Courier New" w:eastAsia="Courier New" w:hAnsi="Courier New"/>
          <w:sz w:val="16"/>
          <w:szCs w:val="16"/>
          <w:color w:val="auto"/>
        </w:rPr>
        <w:t>The Company maintains a Supplemental Benefit Plan (the "Plan") in which Mr. Meeker is currently the only participant. The Plan provides that if a participant remains in the employ of the Company until age 55 or becomes totally and permanently disabled, the participant will be paid a monthly benefit equal to 45% of the "highest average monthly earnings," as defined in the Plan, prior to the time of disability or age 55, reduced by certain other benefits as set forth in the Plan, commencing on retirement (or attainment of age 55 if disability occurs prior to said age) and continuing for life. The benefit payable under the Plan is increased by 1% for each year the participant remains employed by the Company after age 55, to a maximum of 55% of the highest average monthly earnings at age 65. The Plan further provides that the monthly benefit will be reduced by [i] 100% of the primary insurance amount under social security payable to a participant determined as of the later of the participant's retirement date or attainment of age 62; [ii] 100% of the</w:t>
      </w:r>
    </w:p>
    <w:p>
      <w:pPr>
        <w:sectPr>
          <w:pgSz w:w="11900" w:h="16838" w:orient="portrait"/>
          <w:cols w:equalWidth="0" w:num="1">
            <w:col w:w="10219"/>
          </w:cols>
          <w:pgMar w:left="240" w:top="925" w:right="1440" w:bottom="1440" w:gutter="0" w:footer="0" w:header="0"/>
        </w:sectPr>
      </w:pPr>
    </w:p>
    <w:bookmarkStart w:id="26" w:name="page27"/>
    <w:bookmarkEnd w:id="26"/>
    <w:p>
      <w:pPr>
        <w:jc w:val="both"/>
        <w:ind w:right="1779"/>
        <w:spacing w:after="0" w:line="268" w:lineRule="auto"/>
        <w:rPr>
          <w:sz w:val="20"/>
          <w:szCs w:val="20"/>
          <w:color w:val="auto"/>
        </w:rPr>
      </w:pPr>
      <w:r>
        <w:rPr>
          <w:rFonts w:ascii="Courier New" w:cs="Courier New" w:eastAsia="Courier New" w:hAnsi="Courier New"/>
          <w:sz w:val="16"/>
          <w:szCs w:val="16"/>
          <w:color w:val="auto"/>
        </w:rPr>
        <w:t>participant's monthly benefit calculated in the form of a life annuity under the terminated Churchill Downs Pension Plan; [iii] 100% of the monthly income option calculated as a life annuity from the cash surrender value of all life insurance policies listed on a schedule attached to the participant's plan agreement; and</w:t>
      </w:r>
    </w:p>
    <w:p>
      <w:pPr>
        <w:spacing w:after="0" w:line="1" w:lineRule="exact"/>
        <w:rPr>
          <w:sz w:val="20"/>
          <w:szCs w:val="20"/>
          <w:color w:val="auto"/>
        </w:rPr>
      </w:pPr>
    </w:p>
    <w:p>
      <w:pPr>
        <w:jc w:val="both"/>
        <w:ind w:right="1779" w:firstLine="8"/>
        <w:spacing w:after="0" w:line="237"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of the employer contributions and any employee contributions up to a maximum of $2,000 per year allocated to the participant's accounts under the Churchill Downs Incorporated Profit Sharing Plan, calculated in the form of a life annuity payable on his retirement date. Due to these reductions, the estimated annual benefit payable upon retirement at age 65 to Mr. Meeker under the Plan is $50,486.</w:t>
      </w: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EMPLOYMENT AGREEMENT AND CHANGE IN CONTROL AGREEMENT</w:t>
      </w:r>
    </w:p>
    <w:p>
      <w:pPr>
        <w:spacing w:after="0" w:line="207" w:lineRule="exact"/>
        <w:rPr>
          <w:sz w:val="20"/>
          <w:szCs w:val="20"/>
          <w:color w:val="auto"/>
        </w:rPr>
      </w:pPr>
    </w:p>
    <w:p>
      <w:pPr>
        <w:jc w:val="both"/>
        <w:ind w:right="1779" w:firstLine="1264"/>
        <w:spacing w:after="0" w:line="269" w:lineRule="auto"/>
        <w:rPr>
          <w:sz w:val="20"/>
          <w:szCs w:val="20"/>
          <w:color w:val="auto"/>
        </w:rPr>
      </w:pPr>
      <w:r>
        <w:rPr>
          <w:rFonts w:ascii="Courier New" w:cs="Courier New" w:eastAsia="Courier New" w:hAnsi="Courier New"/>
          <w:sz w:val="16"/>
          <w:szCs w:val="16"/>
          <w:color w:val="auto"/>
        </w:rPr>
        <w:t>Mr. Meeker was employed as President and Chief Executive Officer of the Company in October 1984 under an annually renewing three-year contract. Mr. Meeker's compensation for 1995 includes a base salary of $245,000 per year, reimbursement for travel and entertainment expenses (including his wife's travel expenses on Company business), provision of an automobile, payment of dues for one (1) country club and any other professional or business associations, and a $250,000 life insurance policy. Mr. Meeker's employment may be terminated by the Company prior to the expiration of his employment agreement only if he willfully fails to perform his duties under his employment agreement or otherwise engages in misconduct that injures the Company. Pursuant to Mr. Meeker's employment agreement, in the event of both a "change in control" of the Company and, within one (1) year of such "change in control," either termination of Mr. Meeker's employment by the Company without "just cause" or his resignation, the Company will pay to Mr. Meeker an amount equal to three (3) times his average annual base salary over the prior five (5) years. A "change in control" is defined generally to include the sale by the Company of all or substantially all of its assets, a consolidation or merger involving the Company, the acquisition of over 30% of the Common Stock in a tender offer or any other change in control of the type which would be required to be reported under the Federal securities laws; however, a "change in control" will not be deemed to have occurred in the case of a tender offer or change reportable under the Federal securities laws, unless</w:t>
      </w:r>
    </w:p>
    <w:p>
      <w:pPr>
        <w:sectPr>
          <w:pgSz w:w="11900" w:h="16838" w:orient="portrait"/>
          <w:cols w:equalWidth="0" w:num="1">
            <w:col w:w="10219"/>
          </w:cols>
          <w:pgMar w:left="240" w:top="520" w:right="1440" w:bottom="1440" w:gutter="0" w:footer="0" w:header="0"/>
        </w:sectPr>
      </w:pPr>
    </w:p>
    <w:bookmarkStart w:id="27" w:name="page28"/>
    <w:bookmarkEnd w:id="27"/>
    <w:p>
      <w:pPr>
        <w:jc w:val="both"/>
        <w:ind w:right="1779"/>
        <w:spacing w:after="0" w:line="237" w:lineRule="auto"/>
        <w:rPr>
          <w:sz w:val="20"/>
          <w:szCs w:val="20"/>
          <w:color w:val="auto"/>
        </w:rPr>
      </w:pPr>
      <w:r>
        <w:rPr>
          <w:rFonts w:ascii="Courier New" w:cs="Courier New" w:eastAsia="Courier New" w:hAnsi="Courier New"/>
          <w:sz w:val="18"/>
          <w:szCs w:val="18"/>
          <w:color w:val="auto"/>
        </w:rPr>
        <w:t>it is coupled with or followed by the election of at least one-half of the directors of the Company to be elected at any one (1) election and the election of such directors has not been previously approved by at least two-thirds of the directors in office prior to such change in control.</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During the past fiscal year, the Company did not engage in any transactions in which any director or officer of the Company had any material interest, except as described below.</w:t>
      </w:r>
    </w:p>
    <w:p>
      <w:pPr>
        <w:spacing w:after="0" w:line="6"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Directors of the Company may from time to time own or have interests in horses racing at the Company's tracks. All such races are conducted, as applicable, under the regulations of the Kentucky Racing Commission or the Indiana Horse Racing Commission, and no director receives any extra or special benefit with regard to having their horses selected to run in races or in connection with the actual running of races.</w:t>
      </w:r>
    </w:p>
    <w:p>
      <w:pPr>
        <w:spacing w:after="0" w:line="7" w:lineRule="exact"/>
        <w:rPr>
          <w:sz w:val="20"/>
          <w:szCs w:val="20"/>
          <w:color w:val="auto"/>
        </w:rPr>
      </w:pPr>
    </w:p>
    <w:p>
      <w:pPr>
        <w:jc w:val="both"/>
        <w:ind w:right="1779" w:firstLine="1264"/>
        <w:spacing w:after="0" w:line="269" w:lineRule="auto"/>
        <w:rPr>
          <w:sz w:val="20"/>
          <w:szCs w:val="20"/>
          <w:color w:val="auto"/>
        </w:rPr>
      </w:pPr>
      <w:r>
        <w:rPr>
          <w:rFonts w:ascii="Courier New" w:cs="Courier New" w:eastAsia="Courier New" w:hAnsi="Courier New"/>
          <w:sz w:val="16"/>
          <w:szCs w:val="16"/>
          <w:color w:val="auto"/>
        </w:rPr>
        <w:t>One or more directors of the Company have an interest in business entities which contract with the Company for the purpose of simulcasting the Kentucky Derby and other races and the acceptance of interstate wagers on such races. In such case, no extra or special benefit not shared by all others so contracting with the Company is received by any director or entity owned or controlled by a director. Mr. Charles W. Bidwill, Jr., a director and five percent (5%) owner of the Company, is the President and General Manager and part owner of National Jockey Club. In 1994, National Jockey Club and the Company were parties to a simulcasting contract whereby National Jockey Club was granted the right to simulcast the Company's Derby Trial - Grade III race, The Kentucky Oaks - Grade I race and the Kentucky Derby - Grade I race. In consideration for these rights, National Jockey Club paid to the Company 5.6% of its gross handle on the simulcast races. For purposes of this and other simulcast contracts, gross handle is defined as the total amount wagered by patrons on the races at the National Jockey Club facility less any money returned to the patrons by cancels and refunds. This simulcast contract is uniform throughout the industry</w:t>
      </w:r>
    </w:p>
    <w:p>
      <w:pPr>
        <w:sectPr>
          <w:pgSz w:w="11900" w:h="16838" w:orient="portrait"/>
          <w:cols w:equalWidth="0" w:num="1">
            <w:col w:w="10219"/>
          </w:cols>
          <w:pgMar w:left="240" w:top="520" w:right="1440" w:bottom="1440" w:gutter="0" w:footer="0" w:header="0"/>
        </w:sectPr>
      </w:pPr>
    </w:p>
    <w:bookmarkStart w:id="28" w:name="page29"/>
    <w:bookmarkEnd w:id="28"/>
    <w:p>
      <w:pPr>
        <w:jc w:val="both"/>
        <w:ind w:right="1779"/>
        <w:spacing w:after="0" w:line="237" w:lineRule="auto"/>
        <w:rPr>
          <w:sz w:val="20"/>
          <w:szCs w:val="20"/>
          <w:color w:val="auto"/>
        </w:rPr>
      </w:pPr>
      <w:r>
        <w:rPr>
          <w:rFonts w:ascii="Courier New" w:cs="Courier New" w:eastAsia="Courier New" w:hAnsi="Courier New"/>
          <w:sz w:val="18"/>
          <w:szCs w:val="18"/>
          <w:color w:val="auto"/>
        </w:rPr>
        <w:t>and the rates charged were substantially the same as rates charged to other parties who contracted to simulcast the same races. In 1994, the Company simulcast the Kentucky Derby to 576 locations in the United States and selected international sites. National Jockey Club received no extra or special benefit as a result of the Company's relationship with Mr. Bidwill.</w:t>
      </w:r>
    </w:p>
    <w:p>
      <w:pPr>
        <w:spacing w:after="0" w:line="6"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Thomas H. Meeker, President and Chief Executive Officer of the Company, is currently indebted to the Company in the principal amount of $65,000, represented by his demand note bearing interest at 8% per annum (payable quarterly) and payable in full upon termination of Mr. Meeker's employment with the Company for any reason. This indebtedness arose in connection with Mr. Meeker's initial employment, pursuant to the terms of which he was granted a loan by the Company for the purpose of purchasing the Company's stock.</w:t>
      </w: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INDEPENDENT PUBLIC ACCOUNTANTS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At its</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meeting</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held on March</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w:t>
            </w: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1995,</w:t>
            </w: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the</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Board of</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Directors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adopted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recommendation</w:t>
            </w:r>
          </w:p>
        </w:tc>
        <w:tc>
          <w:tcPr>
            <w:tcW w:w="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of the</w:t>
            </w:r>
          </w:p>
        </w:tc>
        <w:tc>
          <w:tcPr>
            <w:tcW w:w="200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Audit  Committee</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selected</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Coopers &amp;</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Lybrand,</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LLP</w:t>
            </w:r>
          </w:p>
        </w:tc>
        <w:tc>
          <w:tcPr>
            <w:tcW w:w="300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to serve  as the  Company's</w:t>
            </w: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independent</w:t>
            </w:r>
          </w:p>
        </w:tc>
        <w:tc>
          <w:tcPr>
            <w:tcW w:w="21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public  accountants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3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auditors for the fiscal year</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ending</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December 31,</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216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Coopers &amp; Lybrand,</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LLP</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served as</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Company's</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independent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public</w:t>
            </w:r>
          </w:p>
        </w:tc>
        <w:tc>
          <w:tcPr>
            <w:tcW w:w="32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accountants and auditors since</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Company's</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1990</w:t>
            </w:r>
          </w:p>
        </w:tc>
        <w:tc>
          <w:tcPr>
            <w:tcW w:w="19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fiscal year.</w:t>
            </w: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540" w:type="dxa"/>
            <w:vAlign w:val="bottom"/>
            <w:gridSpan w:val="11"/>
          </w:tcPr>
          <w:p>
            <w:pPr>
              <w:jc w:val="right"/>
              <w:spacing w:after="0" w:line="203" w:lineRule="exact"/>
              <w:rPr>
                <w:sz w:val="20"/>
                <w:szCs w:val="20"/>
                <w:color w:val="auto"/>
              </w:rPr>
            </w:pPr>
            <w:r>
              <w:rPr>
                <w:rFonts w:ascii="Courier New" w:cs="Courier New" w:eastAsia="Courier New" w:hAnsi="Courier New"/>
                <w:sz w:val="18"/>
                <w:szCs w:val="18"/>
                <w:color w:val="auto"/>
              </w:rPr>
              <w:t>Representatives of Coopers &amp; Lybrand, LLP are expected to be present</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 the Annual</w:t>
            </w:r>
          </w:p>
        </w:tc>
        <w:tc>
          <w:tcPr>
            <w:tcW w:w="600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w w:val="99"/>
              </w:rPr>
              <w:t>Meeting and will be available to respond to appropriate</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questions</w:t>
            </w:r>
          </w:p>
        </w:tc>
      </w:tr>
      <w:tr>
        <w:trPr>
          <w:trHeight w:val="203"/>
        </w:trPr>
        <w:tc>
          <w:tcPr>
            <w:tcW w:w="1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will have</w:t>
            </w:r>
          </w:p>
        </w:tc>
        <w:tc>
          <w:tcPr>
            <w:tcW w:w="6000" w:type="dxa"/>
            <w:vAlign w:val="bottom"/>
            <w:gridSpan w:val="8"/>
          </w:tcPr>
          <w:p>
            <w:pPr>
              <w:ind w:left="40"/>
              <w:spacing w:after="0" w:line="203" w:lineRule="exact"/>
              <w:rPr>
                <w:sz w:val="20"/>
                <w:szCs w:val="20"/>
                <w:color w:val="auto"/>
              </w:rPr>
            </w:pPr>
            <w:r>
              <w:rPr>
                <w:rFonts w:ascii="Courier New" w:cs="Courier New" w:eastAsia="Courier New" w:hAnsi="Courier New"/>
                <w:sz w:val="18"/>
                <w:szCs w:val="18"/>
                <w:color w:val="auto"/>
                <w:w w:val="98"/>
              </w:rPr>
              <w:t>the opportunity to make a statement if they desire to do</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w:t>
            </w: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left="3380" w:right="1999" w:hanging="2211"/>
        <w:spacing w:after="0" w:line="235" w:lineRule="auto"/>
        <w:rPr>
          <w:sz w:val="20"/>
          <w:szCs w:val="20"/>
          <w:color w:val="auto"/>
        </w:rPr>
      </w:pPr>
      <w:r>
        <w:rPr>
          <w:rFonts w:ascii="Courier New" w:cs="Courier New" w:eastAsia="Courier New" w:hAnsi="Courier New"/>
          <w:sz w:val="18"/>
          <w:szCs w:val="18"/>
          <w:color w:val="auto"/>
        </w:rPr>
        <w:t>APPROVAL OF MINUTES OF 1994 SHAREHOLDERS' MEETING AND OTHER MATTERS (PROPOSAL NO. 2)</w:t>
      </w:r>
    </w:p>
    <w:p>
      <w:pPr>
        <w:spacing w:after="0" w:line="208"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The Board of Directors of the Company does not know of any matters to be presented to the Annual Meeting other than those specified above, except matters incident to the conduct of the Annual Meeting and the approval by a</w:t>
      </w:r>
    </w:p>
    <w:p>
      <w:pPr>
        <w:sectPr>
          <w:pgSz w:w="11900" w:h="16838" w:orient="portrait"/>
          <w:cols w:equalWidth="0" w:num="1">
            <w:col w:w="10219"/>
          </w:cols>
          <w:pgMar w:left="240" w:top="520" w:right="1440" w:bottom="1440" w:gutter="0" w:footer="0" w:header="0"/>
        </w:sectPr>
      </w:pPr>
    </w:p>
    <w:bookmarkStart w:id="29" w:name="page30"/>
    <w:bookmarkEnd w:id="29"/>
    <w:p>
      <w:pPr>
        <w:jc w:val="both"/>
        <w:ind w:right="1779"/>
        <w:spacing w:after="0" w:line="273" w:lineRule="auto"/>
        <w:rPr>
          <w:sz w:val="20"/>
          <w:szCs w:val="20"/>
          <w:color w:val="auto"/>
        </w:rPr>
      </w:pPr>
      <w:r>
        <w:rPr>
          <w:rFonts w:ascii="Courier New" w:cs="Courier New" w:eastAsia="Courier New" w:hAnsi="Courier New"/>
          <w:sz w:val="16"/>
          <w:szCs w:val="16"/>
          <w:color w:val="auto"/>
        </w:rPr>
        <w:t>majority of the shares represented at the Annual Meeting of minutes of the 1994 Annual Meeting which does not amount to ratification of actions taken thereat. If, however, any other matters should come before the Annual Meeting, it is intended that the persons named in the enclosed Proxy, or their substitutes, will vote such Proxy in accordance with their best judgment on such matters.</w:t>
      </w:r>
    </w:p>
    <w:p>
      <w:pPr>
        <w:spacing w:after="0" w:line="17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PROPOSALS BY SHAREHOLDERS</w:t>
      </w:r>
    </w:p>
    <w:p>
      <w:pPr>
        <w:spacing w:after="0" w:line="207"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Any shareholder proposal that may be included in the Board of Directors' Proxy Statement and Proxy for presentation at the Annual Meeting of Shareholders to be held in 1996 must be received by the Company at 700 Central Avenue, Louisville, Kentucky 40208, Attention of the Secretary, no later than January 12, 1996.</w:t>
      </w:r>
    </w:p>
    <w:p>
      <w:pPr>
        <w:spacing w:after="0" w:line="6" w:lineRule="exact"/>
        <w:rPr>
          <w:sz w:val="20"/>
          <w:szCs w:val="20"/>
          <w:color w:val="auto"/>
        </w:rPr>
      </w:pPr>
    </w:p>
    <w:p>
      <w:pPr>
        <w:jc w:val="both"/>
        <w:ind w:right="1779" w:firstLine="1264"/>
        <w:spacing w:after="0" w:line="237" w:lineRule="auto"/>
        <w:rPr>
          <w:sz w:val="20"/>
          <w:szCs w:val="20"/>
          <w:color w:val="auto"/>
        </w:rPr>
      </w:pPr>
      <w:r>
        <w:rPr>
          <w:rFonts w:ascii="Courier New" w:cs="Courier New" w:eastAsia="Courier New" w:hAnsi="Courier New"/>
          <w:sz w:val="18"/>
          <w:szCs w:val="18"/>
          <w:color w:val="auto"/>
        </w:rPr>
        <w:t>This solicitation is being made primarily by mail and at the expense of the Company. Certain officers and directors of the Company and persons acting under their instruction may also solicit Proxies on behalf of the Board of Directors by means of telephone calls, personal interviews and mail at no additional expense to the Company.</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INCORPORATION OF DOCUMENT BY REFERENCE</w:t>
      </w:r>
    </w:p>
    <w:p>
      <w:pPr>
        <w:spacing w:after="0" w:line="207" w:lineRule="exact"/>
        <w:rPr>
          <w:sz w:val="20"/>
          <w:szCs w:val="20"/>
          <w:color w:val="auto"/>
        </w:rPr>
      </w:pPr>
    </w:p>
    <w:p>
      <w:pPr>
        <w:jc w:val="both"/>
        <w:ind w:right="1779" w:firstLine="1264"/>
        <w:spacing w:after="0" w:line="273" w:lineRule="auto"/>
        <w:rPr>
          <w:sz w:val="20"/>
          <w:szCs w:val="20"/>
          <w:color w:val="auto"/>
        </w:rPr>
      </w:pPr>
      <w:r>
        <w:rPr>
          <w:rFonts w:ascii="Courier New" w:cs="Courier New" w:eastAsia="Courier New" w:hAnsi="Courier New"/>
          <w:sz w:val="16"/>
          <w:szCs w:val="16"/>
          <w:color w:val="auto"/>
        </w:rPr>
        <w:t>Information concerning the signatories to the Stockholder Agreement is contained in the filing on Schedule 13D made by such signatories with the SEC on April 25, 1995, which Schedule 13D filing (including all exhibits) is incorporated herein by reference. The Company will provide a copy of such Schedule 13D, without charge, to a shareholder requesting such a copy, by</w:t>
      </w:r>
    </w:p>
    <w:p>
      <w:pPr>
        <w:sectPr>
          <w:pgSz w:w="11900" w:h="16838" w:orient="portrait"/>
          <w:cols w:equalWidth="0" w:num="1">
            <w:col w:w="10219"/>
          </w:cols>
          <w:pgMar w:left="240" w:top="520" w:right="1440" w:bottom="1440" w:gutter="0" w:footer="0" w:header="0"/>
        </w:sectPr>
      </w:pPr>
    </w:p>
    <w:bookmarkStart w:id="30" w:name="page31"/>
    <w:bookmarkEnd w:id="30"/>
    <w:p>
      <w:pPr>
        <w:jc w:val="both"/>
        <w:ind w:right="1779"/>
        <w:spacing w:after="0" w:line="237" w:lineRule="auto"/>
        <w:rPr>
          <w:sz w:val="20"/>
          <w:szCs w:val="20"/>
          <w:color w:val="auto"/>
        </w:rPr>
      </w:pPr>
      <w:r>
        <w:rPr>
          <w:rFonts w:ascii="Courier New" w:cs="Courier New" w:eastAsia="Courier New" w:hAnsi="Courier New"/>
          <w:sz w:val="18"/>
          <w:szCs w:val="18"/>
          <w:color w:val="auto"/>
        </w:rPr>
        <w:t>written or oral request. Requests for copies of the Schedule 13D should be directed to Alexander M. Waldrop, Senior Vice President, Secretary and General Counsel, Churchill Downs Incorporated, 700 Central Avenue, Louisville, Kentucky 40208, telephone number (502) 636-4400.</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Thomas H. Meeker, President</w:t>
      </w:r>
    </w:p>
    <w:p>
      <w:pPr>
        <w:ind w:left="380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Alexander M. Waldrop</w:t>
      </w:r>
    </w:p>
    <w:p>
      <w:pPr>
        <w:ind w:left="3800"/>
        <w:spacing w:after="0" w:line="238" w:lineRule="auto"/>
        <w:rPr>
          <w:sz w:val="20"/>
          <w:szCs w:val="20"/>
          <w:color w:val="auto"/>
        </w:rPr>
      </w:pPr>
      <w:r>
        <w:rPr>
          <w:rFonts w:ascii="Courier New" w:cs="Courier New" w:eastAsia="Courier New" w:hAnsi="Courier New"/>
          <w:sz w:val="18"/>
          <w:szCs w:val="18"/>
          <w:color w:val="auto"/>
        </w:rPr>
        <w:t>Senior Vice President, Secretary and</w:t>
      </w:r>
    </w:p>
    <w:p>
      <w:pPr>
        <w:ind w:left="3800"/>
        <w:spacing w:after="0"/>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Louisville, Kentucky</w:t>
      </w:r>
    </w:p>
    <w:p>
      <w:pPr>
        <w:spacing w:after="0" w:line="238" w:lineRule="auto"/>
        <w:rPr>
          <w:sz w:val="20"/>
          <w:szCs w:val="20"/>
          <w:color w:val="auto"/>
        </w:rPr>
      </w:pPr>
      <w:r>
        <w:rPr>
          <w:rFonts w:ascii="Courier New" w:cs="Courier New" w:eastAsia="Courier New" w:hAnsi="Courier New"/>
          <w:sz w:val="18"/>
          <w:szCs w:val="18"/>
          <w:color w:val="auto"/>
        </w:rPr>
        <w:t>May 12, 1995</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PLEASE SIGN AND RETURN THE ENCLOSED PROXY</w:t>
      </w:r>
    </w:p>
    <w:p>
      <w:pPr>
        <w:ind w:left="2440"/>
        <w:spacing w:after="0" w:line="238" w:lineRule="auto"/>
        <w:rPr>
          <w:sz w:val="20"/>
          <w:szCs w:val="20"/>
          <w:color w:val="auto"/>
        </w:rPr>
      </w:pPr>
      <w:r>
        <w:rPr>
          <w:rFonts w:ascii="Courier New" w:cs="Courier New" w:eastAsia="Courier New" w:hAnsi="Courier New"/>
          <w:sz w:val="18"/>
          <w:szCs w:val="18"/>
          <w:color w:val="auto"/>
        </w:rPr>
        <w:t>IF YOU CANNOT BE PRESENT IN PERSON</w:t>
      </w:r>
    </w:p>
    <w:p>
      <w:pPr>
        <w:sectPr>
          <w:pgSz w:w="11900" w:h="16838" w:orient="portrait"/>
          <w:cols w:equalWidth="0" w:num="1">
            <w:col w:w="10219"/>
          </w:cols>
          <w:pgMar w:left="240" w:top="520" w:right="1440" w:bottom="1440" w:gutter="0" w:footer="0" w:header="0"/>
        </w:sectPr>
      </w:pPr>
    </w:p>
    <w:bookmarkStart w:id="31" w:name="page32"/>
    <w:bookmarkEnd w:id="31"/>
    <w:p>
      <w:pPr>
        <w:jc w:val="center"/>
        <w:ind w:right="2099"/>
        <w:spacing w:after="0"/>
        <w:rPr>
          <w:sz w:val="20"/>
          <w:szCs w:val="20"/>
          <w:color w:val="auto"/>
        </w:rPr>
      </w:pPr>
      <w:r>
        <w:rPr>
          <w:rFonts w:ascii="Courier New" w:cs="Courier New" w:eastAsia="Courier New" w:hAnsi="Courier New"/>
          <w:sz w:val="18"/>
          <w:szCs w:val="18"/>
          <w:color w:val="auto"/>
        </w:rPr>
        <w:t>PROXY</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CHURCHILL DOWNS INCORPORATED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700 Central Avenue</w:t>
      </w:r>
    </w:p>
    <w:p>
      <w:pPr>
        <w:jc w:val="center"/>
        <w:ind w:right="1999"/>
        <w:spacing w:after="0" w:line="238" w:lineRule="auto"/>
        <w:rPr>
          <w:sz w:val="20"/>
          <w:szCs w:val="20"/>
          <w:color w:val="auto"/>
        </w:rPr>
      </w:pPr>
      <w:r>
        <w:rPr>
          <w:rFonts w:ascii="Courier New" w:cs="Courier New" w:eastAsia="Courier New" w:hAnsi="Courier New"/>
          <w:sz w:val="18"/>
          <w:szCs w:val="18"/>
          <w:color w:val="auto"/>
        </w:rPr>
        <w:t>Louisville, Kentucky 40208</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ANNUAL MEETING OF SHAREHOLDERS - JUNE 15, 1995</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4" w:lineRule="exact"/>
        <w:rPr>
          <w:sz w:val="20"/>
          <w:szCs w:val="20"/>
          <w:color w:val="auto"/>
        </w:rPr>
      </w:pPr>
    </w:p>
    <w:p>
      <w:pPr>
        <w:ind w:right="1779" w:firstLine="1264"/>
        <w:spacing w:after="0" w:line="268" w:lineRule="auto"/>
        <w:rPr>
          <w:sz w:val="20"/>
          <w:szCs w:val="20"/>
          <w:color w:val="auto"/>
        </w:rPr>
      </w:pPr>
      <w:r>
        <w:rPr>
          <w:rFonts w:ascii="Courier New" w:cs="Courier New" w:eastAsia="Courier New" w:hAnsi="Courier New"/>
          <w:sz w:val="16"/>
          <w:szCs w:val="16"/>
          <w:color w:val="auto"/>
        </w:rPr>
        <w:t>The undersigned hereby appoints Frank B. Hower, Jr. and Darrell R. Wells as Proxies with full power to appoint a substitute and hereby authorizes them to represent and to vote, as designated below, all shares of the undersigned at the Annual Meeting of Shareholders to be held on Thursday, June 15, 1995 or any adjournment thereof, hereby revoking any Proxy heretofore given.</w:t>
      </w:r>
    </w:p>
    <w:p>
      <w:pPr>
        <w:spacing w:after="0" w:line="1" w:lineRule="exact"/>
        <w:rPr>
          <w:sz w:val="20"/>
          <w:szCs w:val="20"/>
          <w:color w:val="auto"/>
        </w:rPr>
      </w:pPr>
    </w:p>
    <w:p>
      <w:pPr>
        <w:ind w:right="1779" w:firstLine="1264"/>
        <w:spacing w:after="0" w:line="235" w:lineRule="auto"/>
        <w:rPr>
          <w:sz w:val="20"/>
          <w:szCs w:val="20"/>
          <w:color w:val="auto"/>
        </w:rPr>
      </w:pPr>
      <w:r>
        <w:rPr>
          <w:rFonts w:ascii="Courier New" w:cs="Courier New" w:eastAsia="Courier New" w:hAnsi="Courier New"/>
          <w:sz w:val="18"/>
          <w:szCs w:val="18"/>
          <w:color w:val="auto"/>
        </w:rPr>
        <w:t>The Board of Directors unanimously recommends a vote FOR the following proposals:</w:t>
      </w:r>
    </w:p>
    <w:p>
      <w:pPr>
        <w:spacing w:after="0" w:line="203" w:lineRule="exact"/>
        <w:rPr>
          <w:sz w:val="20"/>
          <w:szCs w:val="20"/>
          <w:color w:val="auto"/>
        </w:rPr>
      </w:pPr>
    </w:p>
    <w:p>
      <w:pPr>
        <w:ind w:left="1280" w:hanging="640"/>
        <w:spacing w:after="0"/>
        <w:tabs>
          <w:tab w:leader="none" w:pos="128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Class II  Directors,  one (1) Class I Director and one</w:t>
      </w:r>
    </w:p>
    <w:p>
      <w:pPr>
        <w:ind w:left="420" w:hanging="412"/>
        <w:spacing w:after="0" w:line="238"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III Director (Proposal No. 1):</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 FOR all nominees listed</w:t>
      </w:r>
    </w:p>
    <w:p>
      <w:pPr>
        <w:spacing w:after="0" w:line="21" w:lineRule="exact"/>
        <w:rPr>
          <w:sz w:val="20"/>
          <w:szCs w:val="20"/>
          <w:color w:val="auto"/>
        </w:rPr>
      </w:pPr>
    </w:p>
    <w:p>
      <w:pPr>
        <w:ind w:right="340"/>
        <w:spacing w:after="0" w:line="235" w:lineRule="auto"/>
        <w:rPr>
          <w:sz w:val="20"/>
          <w:szCs w:val="20"/>
          <w:color w:val="auto"/>
        </w:rPr>
      </w:pPr>
      <w:r>
        <w:rPr>
          <w:rFonts w:ascii="Courier New" w:cs="Courier New" w:eastAsia="Courier New" w:hAnsi="Courier New"/>
          <w:sz w:val="18"/>
          <w:szCs w:val="18"/>
          <w:color w:val="auto"/>
        </w:rPr>
        <w:t>below (Except as marked to the contrary below)</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 WITHHOLD AUTHORITY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for all nominees listed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below</w:t>
      </w:r>
    </w:p>
    <w:p>
      <w:pPr>
        <w:spacing w:after="0" w:line="200" w:lineRule="exact"/>
        <w:rPr>
          <w:sz w:val="20"/>
          <w:szCs w:val="20"/>
          <w:color w:val="auto"/>
        </w:rPr>
      </w:pPr>
    </w:p>
    <w:p>
      <w:pPr>
        <w:sectPr>
          <w:pgSz w:w="11900" w:h="16838" w:orient="portrait"/>
          <w:cols w:equalWidth="0" w:num="2">
            <w:col w:w="3080" w:space="720"/>
            <w:col w:w="6419"/>
          </w:cols>
          <w:pgMar w:left="240" w:top="919" w:right="1440"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Class II Directors:</w:t>
            </w:r>
          </w:p>
        </w:tc>
        <w:tc>
          <w:tcPr>
            <w:tcW w:w="1540" w:type="dxa"/>
            <w:vAlign w:val="bottom"/>
          </w:tcPr>
          <w:p>
            <w:pPr>
              <w:ind w:left="580"/>
              <w:spacing w:after="0"/>
              <w:rPr>
                <w:sz w:val="20"/>
                <w:szCs w:val="20"/>
                <w:color w:val="auto"/>
              </w:rPr>
            </w:pPr>
            <w:r>
              <w:rPr>
                <w:rFonts w:ascii="Courier New" w:cs="Courier New" w:eastAsia="Courier New" w:hAnsi="Courier New"/>
                <w:sz w:val="18"/>
                <w:szCs w:val="18"/>
                <w:color w:val="auto"/>
              </w:rPr>
              <w:t>Catesby</w:t>
            </w:r>
          </w:p>
        </w:tc>
        <w:tc>
          <w:tcPr>
            <w:tcW w:w="4100" w:type="dxa"/>
            <w:vAlign w:val="bottom"/>
          </w:tcPr>
          <w:p>
            <w:pPr>
              <w:spacing w:after="0"/>
              <w:rPr>
                <w:sz w:val="20"/>
                <w:szCs w:val="20"/>
                <w:color w:val="auto"/>
              </w:rPr>
            </w:pPr>
            <w:r>
              <w:rPr>
                <w:rFonts w:ascii="Courier New" w:cs="Courier New" w:eastAsia="Courier New" w:hAnsi="Courier New"/>
                <w:sz w:val="18"/>
                <w:szCs w:val="18"/>
                <w:color w:val="auto"/>
                <w:w w:val="96"/>
              </w:rPr>
              <w:t>W.  Clay,  J.  David  Grissom,  Seth W.</w:t>
            </w:r>
          </w:p>
        </w:tc>
      </w:tr>
      <w:tr>
        <w:trPr>
          <w:trHeight w:val="203"/>
        </w:trPr>
        <w:tc>
          <w:tcPr>
            <w:tcW w:w="2580" w:type="dxa"/>
            <w:vAlign w:val="bottom"/>
          </w:tcPr>
          <w:p>
            <w:pPr>
              <w:spacing w:after="0"/>
              <w:rPr>
                <w:sz w:val="17"/>
                <w:szCs w:val="17"/>
                <w:color w:val="auto"/>
              </w:rPr>
            </w:pPr>
          </w:p>
        </w:tc>
        <w:tc>
          <w:tcPr>
            <w:tcW w:w="15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Hancock,</w:t>
            </w:r>
          </w:p>
        </w:tc>
        <w:tc>
          <w:tcPr>
            <w:tcW w:w="4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Frank  B.  Hower,  Jr.  and  W.  Bruce</w:t>
            </w:r>
          </w:p>
        </w:tc>
      </w:tr>
      <w:tr>
        <w:trPr>
          <w:trHeight w:val="203"/>
        </w:trPr>
        <w:tc>
          <w:tcPr>
            <w:tcW w:w="2580" w:type="dxa"/>
            <w:vAlign w:val="bottom"/>
          </w:tcPr>
          <w:p>
            <w:pPr>
              <w:spacing w:after="0"/>
              <w:rPr>
                <w:sz w:val="17"/>
                <w:szCs w:val="17"/>
                <w:color w:val="auto"/>
              </w:rPr>
            </w:pPr>
          </w:p>
        </w:tc>
        <w:tc>
          <w:tcPr>
            <w:tcW w:w="15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Lunsford</w:t>
            </w:r>
          </w:p>
        </w:tc>
        <w:tc>
          <w:tcPr>
            <w:tcW w:w="410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Class I Director:</w:t>
            </w:r>
          </w:p>
        </w:tc>
        <w:tc>
          <w:tcPr>
            <w:tcW w:w="1540" w:type="dxa"/>
            <w:vAlign w:val="bottom"/>
          </w:tcPr>
          <w:p>
            <w:pPr>
              <w:ind w:left="580"/>
              <w:spacing w:after="0"/>
              <w:rPr>
                <w:sz w:val="20"/>
                <w:szCs w:val="20"/>
                <w:color w:val="auto"/>
              </w:rPr>
            </w:pPr>
            <w:r>
              <w:rPr>
                <w:rFonts w:ascii="Courier New" w:cs="Courier New" w:eastAsia="Courier New" w:hAnsi="Courier New"/>
                <w:sz w:val="18"/>
                <w:szCs w:val="18"/>
                <w:color w:val="auto"/>
              </w:rPr>
              <w:t>G. Watts</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Humphrey, Jr.</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Class III Director:</w:t>
            </w:r>
          </w:p>
        </w:tc>
        <w:tc>
          <w:tcPr>
            <w:tcW w:w="1540" w:type="dxa"/>
            <w:vAlign w:val="bottom"/>
          </w:tcPr>
          <w:p>
            <w:pPr>
              <w:ind w:left="580"/>
              <w:spacing w:after="0"/>
              <w:rPr>
                <w:sz w:val="20"/>
                <w:szCs w:val="20"/>
                <w:color w:val="auto"/>
              </w:rPr>
            </w:pPr>
            <w:r>
              <w:rPr>
                <w:rFonts w:ascii="Courier New" w:cs="Courier New" w:eastAsia="Courier New" w:hAnsi="Courier New"/>
                <w:sz w:val="18"/>
                <w:szCs w:val="18"/>
                <w:color w:val="auto"/>
                <w:w w:val="96"/>
              </w:rPr>
              <w:t>Thomas H.</w:t>
            </w:r>
          </w:p>
        </w:tc>
        <w:tc>
          <w:tcPr>
            <w:tcW w:w="4100" w:type="dxa"/>
            <w:vAlign w:val="bottom"/>
          </w:tcPr>
          <w:p>
            <w:pPr>
              <w:ind w:left="100"/>
              <w:spacing w:after="0"/>
              <w:rPr>
                <w:sz w:val="20"/>
                <w:szCs w:val="20"/>
                <w:color w:val="auto"/>
              </w:rPr>
            </w:pPr>
            <w:r>
              <w:rPr>
                <w:rFonts w:ascii="Courier New" w:cs="Courier New" w:eastAsia="Courier New" w:hAnsi="Courier New"/>
                <w:sz w:val="18"/>
                <w:szCs w:val="18"/>
                <w:color w:val="auto"/>
              </w:rPr>
              <w:t>Meeker</w:t>
            </w:r>
          </w:p>
        </w:tc>
      </w:tr>
    </w:tbl>
    <w:p>
      <w:pPr>
        <w:spacing w:after="0" w:line="207"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(INSTRUCTION: To withhold authority to vote for any individual nominee write that nominee's name on the space provided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919" w:right="1440" w:bottom="1440" w:gutter="0" w:footer="0" w:header="0"/>
          <w:type w:val="continuous"/>
        </w:sectPr>
      </w:pPr>
    </w:p>
    <w:bookmarkStart w:id="32" w:name="page33"/>
    <w:bookmarkEnd w:id="32"/>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____ FOR</w:t>
            </w:r>
          </w:p>
        </w:tc>
        <w:tc>
          <w:tcPr>
            <w:tcW w:w="322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____ AGAINST</w:t>
            </w:r>
          </w:p>
        </w:tc>
        <w:tc>
          <w:tcPr>
            <w:tcW w:w="1300" w:type="dxa"/>
            <w:vAlign w:val="bottom"/>
          </w:tcPr>
          <w:p>
            <w:pPr>
              <w:ind w:left="40"/>
              <w:spacing w:after="0"/>
              <w:rPr>
                <w:sz w:val="20"/>
                <w:szCs w:val="20"/>
                <w:color w:val="auto"/>
              </w:rPr>
            </w:pPr>
            <w:r>
              <w:rPr>
                <w:rFonts w:ascii="Courier New" w:cs="Courier New" w:eastAsia="Courier New" w:hAnsi="Courier New"/>
                <w:sz w:val="18"/>
                <w:szCs w:val="18"/>
                <w:color w:val="auto"/>
                <w:w w:val="95"/>
              </w:rPr>
              <w:t>____ ABSTAIN</w:t>
            </w:r>
          </w:p>
        </w:tc>
        <w:tc>
          <w:tcPr>
            <w:tcW w:w="148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approve</w:t>
            </w:r>
          </w:p>
        </w:tc>
        <w:tc>
          <w:tcPr>
            <w:tcW w:w="1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minutes  of the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  Annual</w:t>
            </w:r>
          </w:p>
        </w:tc>
        <w:tc>
          <w:tcPr>
            <w:tcW w:w="1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Meeting  of</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Shareholders,</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approval</w:t>
            </w:r>
          </w:p>
        </w:tc>
        <w:tc>
          <w:tcPr>
            <w:tcW w:w="2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which does not amount to</w:t>
            </w:r>
          </w:p>
        </w:tc>
        <w:tc>
          <w:tcPr>
            <w:tcW w:w="1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ratification</w:t>
            </w:r>
          </w:p>
        </w:tc>
        <w:tc>
          <w:tcPr>
            <w:tcW w:w="13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 action</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taken  thereat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(Proposal</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2);</w:t>
            </w:r>
          </w:p>
        </w:tc>
        <w:tc>
          <w:tcPr>
            <w:tcW w:w="1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7" w:lineRule="exact"/>
        <w:rPr>
          <w:sz w:val="20"/>
          <w:szCs w:val="20"/>
          <w:color w:val="auto"/>
        </w:rPr>
      </w:pPr>
    </w:p>
    <w:p>
      <w:pPr>
        <w:jc w:val="both"/>
        <w:ind w:right="1779" w:firstLine="640"/>
        <w:spacing w:after="0" w:line="236" w:lineRule="auto"/>
        <w:tabs>
          <w:tab w:leader="none" w:pos="94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their discretion, the Proxies are authorized to vote upon such other business as may properly come before the meeting including matters incident to its conduct.</w:t>
      </w:r>
    </w:p>
    <w:p>
      <w:pPr>
        <w:spacing w:after="0" w:line="209" w:lineRule="exact"/>
        <w:rPr>
          <w:sz w:val="20"/>
          <w:szCs w:val="20"/>
          <w:color w:val="auto"/>
        </w:rPr>
      </w:pPr>
    </w:p>
    <w:p>
      <w:pPr>
        <w:jc w:val="both"/>
        <w:ind w:left="2540" w:right="1999"/>
        <w:spacing w:after="0" w:line="237" w:lineRule="auto"/>
        <w:rPr>
          <w:sz w:val="20"/>
          <w:szCs w:val="20"/>
          <w:color w:val="auto"/>
        </w:rPr>
      </w:pPr>
      <w:r>
        <w:rPr>
          <w:rFonts w:ascii="Courier New" w:cs="Courier New" w:eastAsia="Courier New" w:hAnsi="Courier New"/>
          <w:sz w:val="18"/>
          <w:szCs w:val="18"/>
          <w:color w:val="auto"/>
        </w:rPr>
        <w:t>UNLESS CONTRARY DIRECTION IS GIVEN, THIS PROXY WILL BE VOTED FOR PROPOSAL NO. 2 AND FOR THE ELECTION OF ALL CLASS I, II and III DIRECTORS DESIGNATED UNDER PROPOSAL NO. 1. Please sign, date and return this Proxy promptly in the enclosed envelope.</w:t>
      </w:r>
    </w:p>
    <w:p>
      <w:pPr>
        <w:ind w:left="2540"/>
        <w:spacing w:after="0"/>
        <w:rPr>
          <w:sz w:val="20"/>
          <w:szCs w:val="20"/>
          <w:color w:val="auto"/>
        </w:rPr>
      </w:pPr>
      <w:r>
        <w:rPr>
          <w:rFonts w:ascii="Courier New" w:cs="Courier New" w:eastAsia="Courier New" w:hAnsi="Courier New"/>
          <w:sz w:val="18"/>
          <w:szCs w:val="18"/>
          <w:color w:val="auto"/>
        </w:rPr>
        <w:t>Dated ________________________________, 1995</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________________________________________________________</w:t>
      </w:r>
    </w:p>
    <w:p>
      <w:pPr>
        <w:spacing w:after="0" w:line="2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_____________________ (Please sign this Proxy exactly as</w:t>
      </w:r>
    </w:p>
    <w:p>
      <w:pPr>
        <w:spacing w:after="0" w:line="21" w:lineRule="exact"/>
        <w:rPr>
          <w:sz w:val="20"/>
          <w:szCs w:val="20"/>
          <w:color w:val="auto"/>
        </w:rPr>
      </w:pPr>
    </w:p>
    <w:p>
      <w:pPr>
        <w:jc w:val="both"/>
        <w:ind w:left="2540" w:right="1779"/>
        <w:spacing w:after="0" w:line="236" w:lineRule="auto"/>
        <w:rPr>
          <w:sz w:val="20"/>
          <w:szCs w:val="20"/>
          <w:color w:val="auto"/>
        </w:rPr>
      </w:pPr>
      <w:r>
        <w:rPr>
          <w:rFonts w:ascii="Courier New" w:cs="Courier New" w:eastAsia="Courier New" w:hAnsi="Courier New"/>
          <w:sz w:val="18"/>
          <w:szCs w:val="18"/>
          <w:color w:val="auto"/>
        </w:rPr>
        <w:t>name(s) appears. Joint owners should each sign. When signing as attorney, executor, administrator, trustee, guardian or other fiduciary, please give full title.)</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upperLetter"/>
      <w:start w:val="24"/>
    </w:lvl>
  </w:abstractNum>
  <w:abstractNum w:abstractNumId="2">
    <w:nsid w:val="1BEFD79F"/>
    <w:multiLevelType w:val="hybridMultilevel"/>
    <w:lvl w:ilvl="0">
      <w:lvlJc w:val="left"/>
      <w:lvlText w:val="["/>
      <w:numFmt w:val="bullet"/>
      <w:start w:val="1"/>
    </w:lvl>
    <w:lvl w:ilvl="1">
      <w:lvlJc w:val="left"/>
      <w:lvlText w:val="%2)"/>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1"/>
      <w:numFmt w:val="decimal"/>
      <w:start w:val="1"/>
    </w:lvl>
    <w:lvl w:ilvl="1">
      <w:lvlJc w:val="left"/>
      <w:lvlText w:val="%2."/>
      <w:numFmt w:val="upperLetter"/>
      <w:start w:val="9"/>
    </w:lvl>
  </w:abstractNum>
  <w:abstractNum w:abstractNumId="6">
    <w:nsid w:val="25E45D32"/>
    <w:multiLevelType w:val="hybridMultilevel"/>
    <w:lvl w:ilvl="0">
      <w:lvlJc w:val="left"/>
      <w:lvlText w:val="(%1)"/>
      <w:numFmt w:val="decimal"/>
      <w:start w:val="3"/>
    </w:lvl>
    <w:lvl w:ilvl="1">
      <w:lvlJc w:val="left"/>
      <w:lvlText w:val="%2"/>
      <w:numFmt w:val="upperLetter"/>
      <w:start w:val="1"/>
    </w:lvl>
  </w:abstractNum>
  <w:abstractNum w:abstractNumId="7">
    <w:nsid w:val="519B500D"/>
    <w:multiLevelType w:val="hybridMultilevel"/>
    <w:lvl w:ilvl="0">
      <w:lvlJc w:val="left"/>
      <w:lvlText w:val="(%1)"/>
      <w:numFmt w:val="decimal"/>
      <w:start w:val="1"/>
    </w:lvl>
    <w:lvl w:ilvl="1">
      <w:lvlJc w:val="left"/>
      <w:lvlText w:val="%2."/>
      <w:numFmt w:val="upperLetter"/>
      <w:start w:val="35"/>
    </w:lvl>
  </w:abstractNum>
  <w:abstractNum w:abstractNumId="8">
    <w:nsid w:val="431BD7B7"/>
    <w:multiLevelType w:val="hybridMultilevel"/>
    <w:lvl w:ilvl="0">
      <w:lvlJc w:val="left"/>
      <w:lvlText w:val="%1."/>
      <w:numFmt w:val="upperLetter"/>
      <w:start w:val="6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2"/>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upperLetter"/>
      <w:start w:val="6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4"/>
    </w:lvl>
  </w:abstractNum>
  <w:abstractNum w:abstractNumId="16">
    <w:nsid w:val="721DA317"/>
    <w:multiLevelType w:val="hybridMultilevel"/>
    <w:lvl w:ilvl="0">
      <w:lvlJc w:val="left"/>
      <w:lvlText w:val="(%1)"/>
      <w:numFmt w:val="lowerRoman"/>
      <w:start w:val="1"/>
    </w:lvl>
  </w:abstractNum>
  <w:abstractNum w:abstractNumId="17">
    <w:nsid w:val="2443A858"/>
    <w:multiLevelType w:val="hybridMultilevel"/>
    <w:lvl w:ilvl="0">
      <w:lvlJc w:val="left"/>
      <w:lvlText w:val="(%1)"/>
      <w:numFmt w:val="lowerRoman"/>
      <w:start w:val="3"/>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4"/>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Roman"/>
      <w:start w:val="4"/>
    </w:lvl>
  </w:abstractNum>
  <w:abstractNum w:abstractNumId="24">
    <w:nsid w:val="B03E0C6"/>
    <w:multiLevelType w:val="hybridMultilevel"/>
    <w:lvl w:ilvl="0">
      <w:lvlJc w:val="left"/>
      <w:lvlText w:val="%1"/>
      <w:numFmt w:val="decimal"/>
      <w:start w:val="1"/>
    </w:lvl>
    <w:lvl w:ilvl="1">
      <w:lvlJc w:val="left"/>
      <w:lvlText w:val="%2."/>
      <w:numFmt w:val="decimal"/>
      <w:start w:val="1"/>
    </w:lvl>
  </w:abstractNum>
  <w:abstractNum w:abstractNumId="25">
    <w:nsid w:val="189A769B"/>
    <w:multiLevelType w:val="hybridMultilevel"/>
    <w:lvl w:ilvl="0">
      <w:lvlJc w:val="left"/>
      <w:lvlText w:val="(%1)"/>
      <w:numFmt w:val="decimal"/>
      <w:start w:val="1"/>
    </w:lvl>
    <w:lvl w:ilvl="1">
      <w:lvlJc w:val="left"/>
      <w:lvlText w:val="%2"/>
      <w:numFmt w:val="decimal"/>
      <w:start w:val="1"/>
    </w:lvl>
  </w:abstractNum>
  <w:abstractNum w:abstractNumId="26">
    <w:nsid w:val="54E49EB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2019-12-19T19:58:18Z</dcterms:created>
  <dcterms:modified xsi:type="dcterms:W3CDTF">2019-12-19T19:58:18Z</dcterms:modified>
</cp:coreProperties>
</file>