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val="false"/>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val="false"/>
          <w:color w:val="000000"/>
          <w:sz w:val="20"/>
        </w:rPr>
        <w:t>to</w:t>
      </w:r>
      <w:r>
        <w:rPr>
          <w:color w:val="000000"/>
          <w:u w:val="single"/>
        </w:rPr>
        <w:t>            </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001-33998</w:t>
      </w:r>
    </w:p>
    <w:p>
      <w:pPr>
        <w:pStyle w:val="TextBody"/>
        <w:bidi w:val="0"/>
        <w:spacing w:lineRule="auto" w:line="288" w:before="60" w:after="60"/>
        <w:jc w:val="center"/>
        <w:rPr>
          <w:rFonts w:ascii="Times New Roman;sans-serif" w:hAnsi="Times New Roman;sans-serif"/>
          <w:b/>
          <w:color w:val="000000"/>
          <w:sz w:val="48"/>
        </w:rPr>
      </w:pPr>
      <w:r>
        <w:rPr>
          <w:rFonts w:ascii="Times New Roman;sans-serif" w:hAnsi="Times New Roman;sans-serif"/>
          <w:b/>
          <w:color w:val="000000"/>
          <w:sz w:val="48"/>
        </w:rPr>
        <w:t>Churchill Downs Incorporated</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8973"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109"/>
        <w:gridCol w:w="109"/>
        <w:gridCol w:w="109"/>
        <w:gridCol w:w="992"/>
        <w:gridCol w:w="992"/>
        <w:gridCol w:w="1001"/>
        <w:gridCol w:w="109"/>
        <w:gridCol w:w="109"/>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Kentucky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Louisville,</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(502) 636-4400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 LLC</w:t>
            </w:r>
          </w:p>
        </w:tc>
      </w:tr>
    </w:tbl>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 xml:space="preserve">☐ </w:t>
      </w:r>
    </w:p>
    <w:p>
      <w:pPr>
        <w:pStyle w:val="TextBody"/>
        <w:bidi w:val="0"/>
        <w:spacing w:lineRule="auto" w:line="288" w:before="18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80" w:after="1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1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 xml:space="preserve">☒ </w:t>
      </w:r>
    </w:p>
    <w:p>
      <w:pPr>
        <w:pStyle w:val="TextBody"/>
        <w:bidi w:val="0"/>
        <w:spacing w:lineRule="auto" w:line="300"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number of shares outstanding of registrant’s common stock at April 16, 2025 was 72,232,103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CHURCHILL DOWNS INCORPORATED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
        <w:gridCol w:w="250"/>
        <w:gridCol w:w="251"/>
        <w:gridCol w:w="3013"/>
        <w:gridCol w:w="3013"/>
        <w:gridCol w:w="3019"/>
        <w:gridCol w:w="109"/>
        <w:gridCol w:w="109"/>
        <w:gridCol w:w="157"/>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0">
              <w:r>
                <w:rPr>
                  <w:rStyle w:val="InternetLink"/>
                  <w:rFonts w:ascii="Times New Roman;sans-serif" w:hAnsi="Times New Roman;sans-serif"/>
                  <w:b/>
                  <w:color w:val="000000"/>
                  <w:sz w:val="20"/>
                  <w:u w:val="single"/>
                </w:rPr>
                <w:t>Part I-FINANCIAL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
              <w:r>
                <w:rPr>
                  <w:rStyle w:val="InternetLink"/>
                  <w:rFonts w:ascii="Times New Roman;sans-serif" w:hAnsi="Times New Roman;sans-serif"/>
                  <w:b w:val="false"/>
                  <w:color w:val="000000"/>
                  <w:sz w:val="20"/>
                  <w:u w:val="single"/>
                </w:rPr>
                <w:t>Item 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
              <w:r>
                <w:rPr>
                  <w:rStyle w:val="InternetLink"/>
                  <w:rFonts w:ascii="Times New Roman;sans-serif" w:hAnsi="Times New Roman;sans-serif"/>
                  <w:b w:val="false"/>
                  <w:color w:val="000000"/>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
              <w:r>
                <w:rPr>
                  <w:rStyle w:val="InternetLink"/>
                  <w:rFonts w:ascii="Times New Roman;sans-serif" w:hAnsi="Times New Roman;sans-serif"/>
                  <w:b w:val="false"/>
                  <w:color w:val="000080"/>
                  <w:sz w:val="20"/>
                  <w:u w:val="single"/>
                </w:rPr>
                <w:t xml:space="preserve">Condensed Consolidated Statements of Comprehensive Income for the </w:t>
              </w:r>
            </w:hyperlink>
            <w:r>
              <w:rPr>
                <w:rFonts w:ascii="Times New Roman;sans-serif" w:hAnsi="Times New Roman;sans-serif"/>
                <w:b w:val="false"/>
                <w:color w:val="000000"/>
                <w:sz w:val="20"/>
                <w:u w:val="single"/>
              </w:rPr>
              <w:t>three months ended</w:t>
            </w:r>
            <w:hyperlink w:anchor="icd2c1dcd4d5448c8bfcced396abda8a0_16">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March 31, 2025</w:t>
            </w:r>
            <w:hyperlink w:anchor="icd2c1dcd4d5448c8bfcced396abda8a0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6">
              <w:r>
                <w:rPr>
                  <w:rStyle w:val="InternetLink"/>
                  <w:rFonts w:ascii="Times New Roman;sans-serif" w:hAnsi="Times New Roman;sans-serif"/>
                  <w:b w:val="false"/>
                  <w:color w:val="000000"/>
                  <w:sz w:val="20"/>
                  <w:u w:val="singl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9">
              <w:r>
                <w:rPr>
                  <w:rStyle w:val="InternetLink"/>
                  <w:rFonts w:ascii="Times New Roman;sans-serif" w:hAnsi="Times New Roman;sans-serif"/>
                  <w:b w:val="false"/>
                  <w:color w:val="000080"/>
                  <w:sz w:val="20"/>
                  <w:u w:val="single"/>
                </w:rPr>
                <w:t xml:space="preserve">Condensed Consolidated Balance Sheets at </w:t>
              </w:r>
            </w:hyperlink>
            <w:r>
              <w:rPr>
                <w:rFonts w:ascii="Times New Roman;sans-serif" w:hAnsi="Times New Roman;sans-serif"/>
                <w:b w:val="false"/>
                <w:color w:val="000000"/>
                <w:sz w:val="20"/>
                <w:u w:val="single"/>
              </w:rPr>
              <w:t>March 31, 2025</w:t>
            </w:r>
            <w:hyperlink w:anchor="icd2c1dcd4d5448c8bfcced396abda8a0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December 31,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9">
              <w:r>
                <w:rPr>
                  <w:rStyle w:val="InternetLink"/>
                  <w:rFonts w:ascii="Times New Roman;sans-serif" w:hAnsi="Times New Roman;sans-serif"/>
                  <w:b w:val="false"/>
                  <w:color w:val="000000"/>
                  <w:sz w:val="20"/>
                  <w:u w:val="singl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22">
              <w:r>
                <w:rPr>
                  <w:rStyle w:val="InternetLink"/>
                  <w:rFonts w:ascii="Times New Roman;sans-serif" w:hAnsi="Times New Roman;sans-serif"/>
                  <w:b w:val="false"/>
                  <w:color w:val="000080"/>
                  <w:sz w:val="20"/>
                  <w:u w:val="single"/>
                </w:rPr>
                <w:t xml:space="preserve">Condensed Consolidated Statements of Shareholders' Equity for the </w:t>
              </w:r>
            </w:hyperlink>
            <w:r>
              <w:rPr>
                <w:rFonts w:ascii="Times New Roman;sans-serif" w:hAnsi="Times New Roman;sans-serif"/>
                <w:b w:val="false"/>
                <w:color w:val="000000"/>
                <w:sz w:val="20"/>
                <w:u w:val="single"/>
              </w:rPr>
              <w:t>three months ended</w:t>
            </w:r>
            <w:hyperlink w:anchor="icd2c1dcd4d5448c8bfcced396abda8a0_2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March 31, 2025</w:t>
            </w:r>
            <w:hyperlink w:anchor="icd2c1dcd4d5448c8bfcced396abda8a0_22">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22">
              <w:r>
                <w:rPr>
                  <w:rStyle w:val="InternetLink"/>
                  <w:rFonts w:ascii="Times New Roman;sans-serif" w:hAnsi="Times New Roman;sans-serif"/>
                  <w:b w:val="false"/>
                  <w:color w:val="000000"/>
                  <w:sz w:val="20"/>
                  <w:u w:val="single"/>
                </w:rPr>
                <w:t>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25">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00"/>
                <w:sz w:val="20"/>
                <w:u w:val="single"/>
              </w:rPr>
              <w:t>three</w:t>
            </w:r>
            <w:hyperlink w:anchor="icd2c1dcd4d5448c8bfcced396abda8a0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00"/>
                <w:sz w:val="20"/>
                <w:u w:val="single"/>
              </w:rPr>
              <w:t>March 31, 2025</w:t>
            </w:r>
            <w:hyperlink w:anchor="icd2c1dcd4d5448c8bfcced396abda8a0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25">
              <w:r>
                <w:rPr>
                  <w:rStyle w:val="InternetLink"/>
                  <w:rFonts w:ascii="Times New Roman;sans-serif" w:hAnsi="Times New Roman;sans-serif"/>
                  <w:b w:val="false"/>
                  <w:color w:val="000000"/>
                  <w:sz w:val="20"/>
                  <w:u w:val="singl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31">
              <w:r>
                <w:rPr>
                  <w:rStyle w:val="InternetLink"/>
                  <w:rFonts w:ascii="Times New Roman;sans-serif" w:hAnsi="Times New Roman;sans-serif"/>
                  <w:b w:val="false"/>
                  <w:color w:val="000000"/>
                  <w:sz w:val="20"/>
                  <w:u w:val="single"/>
                </w:rPr>
                <w:t>Notes to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31">
              <w:r>
                <w:rPr>
                  <w:rStyle w:val="InternetLink"/>
                  <w:rFonts w:ascii="Times New Roman;sans-serif" w:hAnsi="Times New Roman;sans-serif"/>
                  <w:b w:val="false"/>
                  <w:color w:val="000000"/>
                  <w:sz w:val="20"/>
                  <w:u w:val="single"/>
                </w:rPr>
                <w:t>8</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94">
              <w:r>
                <w:rPr>
                  <w:rStyle w:val="InternetLink"/>
                  <w:rFonts w:ascii="Times New Roman;sans-serif" w:hAnsi="Times New Roman;sans-serif"/>
                  <w:b w:val="false"/>
                  <w:color w:val="000000"/>
                  <w:sz w:val="20"/>
                  <w:u w:val="single"/>
                </w:rPr>
                <w:t>Item 2.</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94">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94">
              <w:r>
                <w:rPr>
                  <w:rStyle w:val="InternetLink"/>
                  <w:rFonts w:ascii="Times New Roman;sans-serif" w:hAnsi="Times New Roman;sans-serif"/>
                  <w:b w:val="false"/>
                  <w:color w:val="000000"/>
                  <w:sz w:val="20"/>
                  <w:u w:val="single"/>
                </w:rPr>
                <w:t>24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6">
              <w:r>
                <w:rPr>
                  <w:rStyle w:val="InternetLink"/>
                  <w:rFonts w:ascii="Times New Roman;sans-serif" w:hAnsi="Times New Roman;sans-serif"/>
                  <w:b w:val="false"/>
                  <w:color w:val="000000"/>
                  <w:sz w:val="20"/>
                  <w:u w:val="single"/>
                </w:rPr>
                <w:t>Item 3.</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6">
              <w:r>
                <w:rPr>
                  <w:rStyle w:val="InternetLink"/>
                  <w:rFonts w:ascii="Times New Roman;sans-serif" w:hAnsi="Times New Roman;sans-serif"/>
                  <w:b w:val="false"/>
                  <w:color w:val="000000"/>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36">
              <w:r>
                <w:rPr>
                  <w:rStyle w:val="InternetLink"/>
                  <w:rFonts w:ascii="Times New Roman;sans-serif" w:hAnsi="Times New Roman;sans-serif"/>
                  <w:b w:val="false"/>
                  <w:color w:val="000000"/>
                  <w:sz w:val="20"/>
                  <w:u w:val="single"/>
                </w:rPr>
                <w:t>33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9">
              <w:r>
                <w:rPr>
                  <w:rStyle w:val="InternetLink"/>
                  <w:rFonts w:ascii="Times New Roman;sans-serif" w:hAnsi="Times New Roman;sans-serif"/>
                  <w:b w:val="false"/>
                  <w:color w:val="000000"/>
                  <w:sz w:val="20"/>
                  <w:u w:val="single"/>
                </w:rPr>
                <w:t>Item 4.</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39">
              <w:r>
                <w:rPr>
                  <w:rStyle w:val="InternetLink"/>
                  <w:rFonts w:ascii="Times New Roman;sans-serif" w:hAnsi="Times New Roman;sans-serif"/>
                  <w:b w:val="false"/>
                  <w:color w:val="000000"/>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39">
              <w:r>
                <w:rPr>
                  <w:rStyle w:val="InternetLink"/>
                  <w:rFonts w:ascii="Times New Roman;sans-serif" w:hAnsi="Times New Roman;sans-serif"/>
                  <w:b w:val="false"/>
                  <w:color w:val="000000"/>
                  <w:sz w:val="20"/>
                  <w:u w:val="single"/>
                </w:rPr>
                <w:t>34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42">
              <w:r>
                <w:rPr>
                  <w:rStyle w:val="InternetLink"/>
                  <w:rFonts w:ascii="Times New Roman;sans-serif" w:hAnsi="Times New Roman;sans-serif"/>
                  <w:b/>
                  <w:color w:val="000000"/>
                  <w:sz w:val="20"/>
                  <w:u w:val="single"/>
                </w:rPr>
                <w:t>Part II-OTHER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45">
              <w:r>
                <w:rPr>
                  <w:rStyle w:val="InternetLink"/>
                  <w:rFonts w:ascii="Times New Roman;sans-serif" w:hAnsi="Times New Roman;sans-serif"/>
                  <w:b w:val="false"/>
                  <w:color w:val="000000"/>
                  <w:sz w:val="20"/>
                  <w:u w:val="single"/>
                </w:rPr>
                <w:t>Item 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45">
              <w:r>
                <w:rPr>
                  <w:rStyle w:val="InternetLink"/>
                  <w:rFonts w:ascii="Times New Roman;sans-serif" w:hAnsi="Times New Roman;sans-serif"/>
                  <w:b w:val="false"/>
                  <w:color w:val="000000"/>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45">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48">
              <w:r>
                <w:rPr>
                  <w:rStyle w:val="InternetLink"/>
                  <w:rFonts w:ascii="Times New Roman;sans-serif" w:hAnsi="Times New Roman;sans-serif"/>
                  <w:b w:val="false"/>
                  <w:color w:val="000000"/>
                  <w:sz w:val="20"/>
                  <w:u w:val="single"/>
                </w:rPr>
                <w:t>Item 1A.</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48">
              <w:r>
                <w:rPr>
                  <w:rStyle w:val="InternetLink"/>
                  <w:rFonts w:ascii="Times New Roman;sans-serif" w:hAnsi="Times New Roman;sans-serif"/>
                  <w:b w:val="false"/>
                  <w:color w:val="000000"/>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48">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1">
              <w:r>
                <w:rPr>
                  <w:rStyle w:val="InternetLink"/>
                  <w:rFonts w:ascii="Times New Roman;sans-serif" w:hAnsi="Times New Roman;sans-serif"/>
                  <w:b w:val="false"/>
                  <w:color w:val="000000"/>
                  <w:sz w:val="20"/>
                  <w:u w:val="single"/>
                </w:rPr>
                <w:t>Item 2.</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1">
              <w:r>
                <w:rPr>
                  <w:rStyle w:val="InternetLink"/>
                  <w:rFonts w:ascii="Times New Roman;sans-serif" w:hAnsi="Times New Roman;sans-serif"/>
                  <w:b w:val="false"/>
                  <w:color w:val="000000"/>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51">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4">
              <w:r>
                <w:rPr>
                  <w:rStyle w:val="InternetLink"/>
                  <w:rFonts w:ascii="Times New Roman;sans-serif" w:hAnsi="Times New Roman;sans-serif"/>
                  <w:b w:val="false"/>
                  <w:color w:val="000000"/>
                  <w:sz w:val="20"/>
                  <w:u w:val="single"/>
                </w:rPr>
                <w:t>Item 3.</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4">
              <w:r>
                <w:rPr>
                  <w:rStyle w:val="InternetLink"/>
                  <w:rFonts w:ascii="Times New Roman;sans-serif" w:hAnsi="Times New Roman;sans-serif"/>
                  <w:b w:val="false"/>
                  <w:color w:val="000000"/>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54">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7">
              <w:r>
                <w:rPr>
                  <w:rStyle w:val="InternetLink"/>
                  <w:rFonts w:ascii="Times New Roman;sans-serif" w:hAnsi="Times New Roman;sans-serif"/>
                  <w:b w:val="false"/>
                  <w:color w:val="000000"/>
                  <w:sz w:val="20"/>
                  <w:u w:val="single"/>
                </w:rPr>
                <w:t>Item 4.</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57">
              <w:r>
                <w:rPr>
                  <w:rStyle w:val="InternetLink"/>
                  <w:rFonts w:ascii="Times New Roman;sans-serif" w:hAnsi="Times New Roman;sans-serif"/>
                  <w:b w:val="false"/>
                  <w:color w:val="000000"/>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57">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0">
              <w:r>
                <w:rPr>
                  <w:rStyle w:val="InternetLink"/>
                  <w:rFonts w:ascii="Times New Roman;sans-serif" w:hAnsi="Times New Roman;sans-serif"/>
                  <w:b w:val="false"/>
                  <w:color w:val="000000"/>
                  <w:sz w:val="20"/>
                  <w:u w:val="single"/>
                </w:rPr>
                <w:t>Item 5.</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0">
              <w:r>
                <w:rPr>
                  <w:rStyle w:val="InternetLink"/>
                  <w:rFonts w:ascii="Times New Roman;sans-serif" w:hAnsi="Times New Roman;sans-serif"/>
                  <w:b w:val="false"/>
                  <w:color w:val="000000"/>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60">
              <w:r>
                <w:rPr>
                  <w:rStyle w:val="InternetLink"/>
                  <w:rFonts w:ascii="Times New Roman;sans-serif" w:hAnsi="Times New Roman;sans-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3">
              <w:r>
                <w:rPr>
                  <w:rStyle w:val="InternetLink"/>
                  <w:rFonts w:ascii="Times New Roman;sans-serif" w:hAnsi="Times New Roman;sans-serif"/>
                  <w:b w:val="false"/>
                  <w:color w:val="000000"/>
                  <w:sz w:val="20"/>
                  <w:u w:val="single"/>
                </w:rPr>
                <w:t>Item 6.</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3">
              <w:r>
                <w:rPr>
                  <w:rStyle w:val="InternetLink"/>
                  <w:rFonts w:ascii="Times New Roman;sans-serif" w:hAnsi="Times New Roman;sans-serif"/>
                  <w:b w:val="false"/>
                  <w:color w:val="000000"/>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63">
              <w:r>
                <w:rPr>
                  <w:rStyle w:val="InternetLink"/>
                  <w:rFonts w:ascii="Times New Roman;sans-serif" w:hAnsi="Times New Roman;sans-serif"/>
                  <w:b w:val="false"/>
                  <w:color w:val="000000"/>
                  <w:sz w:val="20"/>
                  <w:u w:val="single"/>
                </w:rPr>
                <w:t>36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2c1dcd4d5448c8bfcced396abda8a0_166">
              <w:r>
                <w:rPr>
                  <w:rStyle w:val="InternetLink"/>
                  <w:rFonts w:ascii="Times New Roman;sans-serif" w:hAnsi="Times New Roman;sans-serif"/>
                  <w:b w:val="false"/>
                  <w:color w:val="000000"/>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c1dcd4d5448c8bfcced396abda8a0_166">
              <w:r>
                <w:rPr>
                  <w:rStyle w:val="InternetLink"/>
                  <w:rFonts w:ascii="Times New Roman;sans-serif" w:hAnsi="Times New Roman;sans-serif"/>
                  <w:b w:val="false"/>
                  <w:color w:val="000000"/>
                  <w:sz w:val="20"/>
                  <w:u w:val="single"/>
                </w:rPr>
                <w:t>37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33475"/>
                <wp:effectExtent l="0" t="0" r="0" b="0"/>
                <wp:wrapNone/>
                <wp:docPr id="2" name="Frame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CHURCHILL DOWNS INCORPORATED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99" w:type="dxa"/>
        <w:jc w:val="center"/>
        <w:tblInd w:w="0" w:type="dxa"/>
        <w:tblLayout w:type="fixed"/>
        <w:tblCellMar>
          <w:top w:w="28" w:type="dxa"/>
          <w:left w:w="28" w:type="dxa"/>
          <w:bottom w:w="28" w:type="dxa"/>
          <w:right w:w="28" w:type="dxa"/>
        </w:tblCellMar>
      </w:tblPr>
      <w:tblGrid>
        <w:gridCol w:w="2546"/>
        <w:gridCol w:w="2247"/>
        <w:gridCol w:w="2257"/>
        <w:gridCol w:w="246"/>
        <w:gridCol w:w="700"/>
        <w:gridCol w:w="137"/>
        <w:gridCol w:w="137"/>
        <w:gridCol w:w="137"/>
        <w:gridCol w:w="137"/>
        <w:gridCol w:w="246"/>
        <w:gridCol w:w="700"/>
        <w:gridCol w:w="137"/>
        <w:gridCol w:w="109"/>
        <w:gridCol w:w="109"/>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common share data)</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 and Historical Racing</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Wagering Services and Solutions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642.6 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Live and Historical Racing</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Wagering Services and Solutions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income of unconsolidated affiliates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(expense) income</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before provision for income taxes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and comprehensive income attributable to </w:t>
              <w:br/>
              <w:t>Churchill Downs Incorporated</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attributable to Churchill Downs Incorporated per common share data:</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33475"/>
                <wp:effectExtent l="0" t="0" r="0" b="0"/>
                <wp:wrapNone/>
                <wp:docPr id="3" name="Frame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CHURCHILL DOWNS INCORPORATED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10" w:type="dxa"/>
        <w:jc w:val="center"/>
        <w:tblInd w:w="0" w:type="dxa"/>
        <w:tblLayout w:type="fixed"/>
        <w:tblCellMar>
          <w:top w:w="28" w:type="dxa"/>
          <w:left w:w="28" w:type="dxa"/>
          <w:bottom w:w="28" w:type="dxa"/>
          <w:right w:w="28" w:type="dxa"/>
        </w:tblCellMar>
      </w:tblPr>
      <w:tblGrid>
        <w:gridCol w:w="1980"/>
        <w:gridCol w:w="1737"/>
        <w:gridCol w:w="1757"/>
        <w:gridCol w:w="279"/>
        <w:gridCol w:w="1016"/>
        <w:gridCol w:w="144"/>
        <w:gridCol w:w="109"/>
        <w:gridCol w:w="109"/>
        <w:gridCol w:w="109"/>
        <w:gridCol w:w="330"/>
        <w:gridCol w:w="1199"/>
        <w:gridCol w:w="241"/>
      </w:tblGrid>
      <w:tr>
        <w:trPr/>
        <w:tc>
          <w:tcPr>
            <w:tcW w:w="198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and advances to unconsolidated affiliates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deferred revenue</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 and loan origination fees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debt issuance costs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Churchill Downs Incorporated shareholders' equity</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7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7,347.1 </w:t>
            </w:r>
          </w:p>
        </w:tc>
        <w:tc>
          <w:tcPr>
            <w:tcW w:w="14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7,275.9 </w:t>
            </w:r>
          </w:p>
        </w:tc>
        <w:tc>
          <w:tcPr>
            <w:tcW w:w="2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33475"/>
                <wp:effectExtent l="0" t="0" r="0" b="0"/>
                <wp:wrapNone/>
                <wp:docPr id="4" name="Frame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1"/>
        <w:gridCol w:w="541"/>
        <w:gridCol w:w="547"/>
        <w:gridCol w:w="214"/>
        <w:gridCol w:w="214"/>
        <w:gridCol w:w="211"/>
        <w:gridCol w:w="109"/>
        <w:gridCol w:w="109"/>
        <w:gridCol w:w="109"/>
        <w:gridCol w:w="207"/>
        <w:gridCol w:w="428"/>
        <w:gridCol w:w="116"/>
        <w:gridCol w:w="109"/>
        <w:gridCol w:w="109"/>
        <w:gridCol w:w="109"/>
        <w:gridCol w:w="196"/>
        <w:gridCol w:w="691"/>
        <w:gridCol w:w="109"/>
        <w:gridCol w:w="109"/>
        <w:gridCol w:w="109"/>
        <w:gridCol w:w="109"/>
        <w:gridCol w:w="531"/>
        <w:gridCol w:w="1060"/>
        <w:gridCol w:w="297"/>
        <w:gridCol w:w="109"/>
        <w:gridCol w:w="109"/>
        <w:gridCol w:w="109"/>
        <w:gridCol w:w="109"/>
        <w:gridCol w:w="109"/>
        <w:gridCol w:w="109"/>
        <w:gridCol w:w="109"/>
        <w:gridCol w:w="109"/>
        <w:gridCol w:w="109"/>
        <w:gridCol w:w="109"/>
        <w:gridCol w:w="109"/>
        <w:gridCol w:w="109"/>
        <w:gridCol w:w="109"/>
        <w:gridCol w:w="284"/>
        <w:gridCol w:w="1008"/>
        <w:gridCol w:w="232"/>
      </w:tblGrid>
      <w:tr>
        <w:trPr/>
        <w:tc>
          <w:tcPr>
            <w:tcW w:w="9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2024</w:t>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Churchill Downs Incorporated</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stock awards</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2025</w:t>
            </w:r>
          </w:p>
        </w:tc>
        <w:tc>
          <w:tcPr>
            <w:tcW w:w="63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25"/>
        <w:gridCol w:w="680"/>
        <w:gridCol w:w="686"/>
        <w:gridCol w:w="233"/>
        <w:gridCol w:w="233"/>
        <w:gridCol w:w="211"/>
        <w:gridCol w:w="109"/>
        <w:gridCol w:w="109"/>
        <w:gridCol w:w="109"/>
        <w:gridCol w:w="207"/>
        <w:gridCol w:w="428"/>
        <w:gridCol w:w="116"/>
        <w:gridCol w:w="109"/>
        <w:gridCol w:w="109"/>
        <w:gridCol w:w="109"/>
        <w:gridCol w:w="196"/>
        <w:gridCol w:w="556"/>
        <w:gridCol w:w="109"/>
        <w:gridCol w:w="109"/>
        <w:gridCol w:w="109"/>
        <w:gridCol w:w="109"/>
        <w:gridCol w:w="599"/>
        <w:gridCol w:w="1197"/>
        <w:gridCol w:w="336"/>
        <w:gridCol w:w="109"/>
        <w:gridCol w:w="109"/>
        <w:gridCol w:w="109"/>
        <w:gridCol w:w="109"/>
        <w:gridCol w:w="109"/>
        <w:gridCol w:w="109"/>
        <w:gridCol w:w="109"/>
        <w:gridCol w:w="355"/>
        <w:gridCol w:w="1009"/>
        <w:gridCol w:w="285"/>
      </w:tblGrid>
      <w:tr>
        <w:trPr/>
        <w:tc>
          <w:tcPr>
            <w:tcW w:w="102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893.6 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Churchill Downs Incorporated</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stock awards</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2024</w:t>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826.9 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33475"/>
                <wp:effectExtent l="0" t="0" r="0" b="0"/>
                <wp:wrapNone/>
                <wp:docPr id="5" name="Frame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49" w:type="dxa"/>
        <w:jc w:val="center"/>
        <w:tblInd w:w="0" w:type="dxa"/>
        <w:tblLayout w:type="fixed"/>
        <w:tblCellMar>
          <w:top w:w="28" w:type="dxa"/>
          <w:left w:w="28" w:type="dxa"/>
          <w:bottom w:w="28" w:type="dxa"/>
          <w:right w:w="28" w:type="dxa"/>
        </w:tblCellMar>
      </w:tblPr>
      <w:tblGrid>
        <w:gridCol w:w="2436"/>
        <w:gridCol w:w="2132"/>
        <w:gridCol w:w="2151"/>
        <w:gridCol w:w="266"/>
        <w:gridCol w:w="778"/>
        <w:gridCol w:w="137"/>
        <w:gridCol w:w="137"/>
        <w:gridCol w:w="137"/>
        <w:gridCol w:w="137"/>
        <w:gridCol w:w="266"/>
        <w:gridCol w:w="778"/>
        <w:gridCol w:w="194"/>
      </w:tblGrid>
      <w:tr>
        <w:trPr/>
        <w:tc>
          <w:tcPr>
            <w:tcW w:w="243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millions)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from unconsolidated affiliates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in income of unconsolidated affiliates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operating lease assets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80.1 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 and liabilities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246.5 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254.7 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maintenance expenditures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project expenditures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(67.5)</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(80.1)</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under long-term debt obligations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355.5 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borrowings under long-term debt obligations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(266.7)</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dividends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(141.7)</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Taxes paid related to net share settlement of stock awards </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issuance costs</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bank overdraft</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(147.9)</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increase in cash, cash equivalents and restricted cash</w:t>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beginning of period</w:t>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221.8 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end of period</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271.2 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222.0 </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33475"/>
                <wp:effectExtent l="0" t="0" r="0" b="0"/>
                <wp:wrapNone/>
                <wp:docPr id="6" name="Frame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40" w:type="dxa"/>
        <w:jc w:val="center"/>
        <w:tblInd w:w="0" w:type="dxa"/>
        <w:tblLayout w:type="fixed"/>
        <w:tblCellMar>
          <w:top w:w="28" w:type="dxa"/>
          <w:left w:w="28" w:type="dxa"/>
          <w:bottom w:w="28" w:type="dxa"/>
          <w:right w:w="28" w:type="dxa"/>
        </w:tblCellMar>
      </w:tblPr>
      <w:tblGrid>
        <w:gridCol w:w="2568"/>
        <w:gridCol w:w="2257"/>
        <w:gridCol w:w="2285"/>
        <w:gridCol w:w="294"/>
        <w:gridCol w:w="712"/>
        <w:gridCol w:w="151"/>
        <w:gridCol w:w="151"/>
        <w:gridCol w:w="151"/>
        <w:gridCol w:w="151"/>
        <w:gridCol w:w="294"/>
        <w:gridCol w:w="712"/>
        <w:gridCol w:w="214"/>
      </w:tblGrid>
      <w:tr>
        <w:trPr/>
        <w:tc>
          <w:tcPr>
            <w:tcW w:w="256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income tax refunds</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Schedule of non-cash operating, investing and financing activities: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 included in accounts payable and accrued expenses</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assets obtained in exchange for lease obligations in operating leases </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4"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 in finance leases</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4"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included in accrued expense and other current liabilities</w:t>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33475"/>
                <wp:effectExtent l="0" t="0" r="0" b="0"/>
                <wp:wrapNone/>
                <wp:docPr id="7" name="Frame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2024 Condensed Consolidated Balance Sheet data was derived from audited financial statements but does not include all disclosures required by GAAP.</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unaudited. All per share amounts assume dilution unless otherwise noted. This report should be read in conjunction with our Annual Report on Form 10-K for the year ended December 31, 2024.</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necessary for a fair statement of this information have been made, and all such adjustments are of a normal, recurring nature.</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Company closed on the sale of 49% of the United Tote Company (“United Tote”), a wholly owned subsidiary of CDI, to NYRA Content Management Solutions, LLC ("NYRA"), a subsidiary of the New York Racing Association, Inc. Refer to Note 10, Redeemable Noncontrolling Interest, for further information on the transaction. </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2. RECENT ACCOUNTING PRONOUNCEMENTS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 Effective in 2025 or thereafter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are expected to be applied prospectively to all annual periods beginning after December 15, 2024. The Company is currently evaluating the impact of this standard on the consolidated financial statements and related disclosures.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assessing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3. GOODWILL AND OTHER INTANGIBLE ASSETS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$900.2 million as of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33475"/>
                <wp:effectExtent l="0" t="0" r="0" b="0"/>
                <wp:wrapNone/>
                <wp:docPr id="8" name="Frame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24"/>
        <w:gridCol w:w="440"/>
        <w:gridCol w:w="447"/>
        <w:gridCol w:w="254"/>
        <w:gridCol w:w="618"/>
        <w:gridCol w:w="132"/>
        <w:gridCol w:w="109"/>
        <w:gridCol w:w="109"/>
        <w:gridCol w:w="109"/>
        <w:gridCol w:w="333"/>
        <w:gridCol w:w="833"/>
        <w:gridCol w:w="174"/>
        <w:gridCol w:w="109"/>
        <w:gridCol w:w="109"/>
        <w:gridCol w:w="109"/>
        <w:gridCol w:w="225"/>
        <w:gridCol w:w="816"/>
        <w:gridCol w:w="116"/>
        <w:gridCol w:w="109"/>
        <w:gridCol w:w="109"/>
        <w:gridCol w:w="109"/>
        <w:gridCol w:w="254"/>
        <w:gridCol w:w="618"/>
        <w:gridCol w:w="132"/>
        <w:gridCol w:w="109"/>
        <w:gridCol w:w="109"/>
        <w:gridCol w:w="109"/>
        <w:gridCol w:w="333"/>
        <w:gridCol w:w="833"/>
        <w:gridCol w:w="174"/>
        <w:gridCol w:w="109"/>
        <w:gridCol w:w="109"/>
        <w:gridCol w:w="109"/>
        <w:gridCol w:w="224"/>
        <w:gridCol w:w="814"/>
        <w:gridCol w:w="176"/>
      </w:tblGrid>
      <w:tr>
        <w:trPr/>
        <w:tc>
          <w:tcPr>
            <w:tcW w:w="6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2,406.3 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2,409.0 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continuing to monitor the current economic conditions and the impacts on the results of operations of Presque Isle Downs and Casino due to historical impairments recorded in prior periods related to the gaming rights and trademark. Future economic conditions could have a negative impact on the estimates and assumptions utilized in our asset impairment assessments. These potential impacts could increase the risk of a future impairment of assets at Presque Isle.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4. INCOME TAXES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of 19.4% for the three months ended March 31, 2025 was lower than the U.S. federal statutory rate of 21.0% primarily resulting from a $6.0 million benefit from the remeasurement of deferred income tax liabilities, as a result of certain entity classification elections that were made in the first quarter of 2025 decreasing income attributable to states with higher tax rates compared to prior year, partially offset by an unfavorable impact from state income taxes and non-deductible officer’s compensation.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months ended March 31, 2024 was equal to the U.S. federal statutory rate of 21.0%. The Company’s effective income tax rate for the three months ended March 31, 2024 included an unfavorable impact from state income taxes and non-deductible officer's compensation that was offset by a $5.6 million benefit from the remeasurement of deferred income tax liabilities as a result of certain entity classification elections that were made in the first quarter of 2024 decreasing income attributable to states with higher tax rates compared to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5. SHAREHOLDERS' EQUITY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 Programs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2025, the Board of Directors of the Company approved a new common stock repurchase program of up to $500.0 million (the "2025 Stock Repurchase Program"). The 2025 Stock Repurchase Program includes and is not in addition to any unspent amount remaining under the prior authorizations, including an unused authorization of $125.6 million from the 2021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$434.6 million of repurchase authority remaining under the 2025 Stock Repurchase Program at March 31, 2025, based on trade date.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we repurchased the following shares under our stock repurchase programs: </w:t>
      </w:r>
    </w:p>
    <w:tbl>
      <w:tblPr>
        <w:tblW w:w="10205" w:type="dxa"/>
        <w:jc w:val="left"/>
        <w:tblInd w:w="0" w:type="dxa"/>
        <w:tblLayout w:type="fixed"/>
        <w:tblCellMar>
          <w:top w:w="28" w:type="dxa"/>
          <w:left w:w="28" w:type="dxa"/>
          <w:bottom w:w="28" w:type="dxa"/>
          <w:right w:w="28" w:type="dxa"/>
        </w:tblCellMar>
      </w:tblPr>
      <w:tblGrid>
        <w:gridCol w:w="940"/>
        <w:gridCol w:w="735"/>
        <w:gridCol w:w="735"/>
        <w:gridCol w:w="109"/>
        <w:gridCol w:w="109"/>
        <w:gridCol w:w="109"/>
        <w:gridCol w:w="413"/>
        <w:gridCol w:w="413"/>
        <w:gridCol w:w="226"/>
        <w:gridCol w:w="109"/>
        <w:gridCol w:w="109"/>
        <w:gridCol w:w="109"/>
        <w:gridCol w:w="507"/>
        <w:gridCol w:w="1232"/>
        <w:gridCol w:w="264"/>
        <w:gridCol w:w="109"/>
        <w:gridCol w:w="109"/>
        <w:gridCol w:w="109"/>
        <w:gridCol w:w="413"/>
        <w:gridCol w:w="413"/>
        <w:gridCol w:w="226"/>
        <w:gridCol w:w="109"/>
        <w:gridCol w:w="109"/>
        <w:gridCol w:w="109"/>
        <w:gridCol w:w="507"/>
        <w:gridCol w:w="1232"/>
        <w:gridCol w:w="264"/>
        <w:gridCol w:w="109"/>
        <w:gridCol w:w="109"/>
        <w:gridCol w:w="159"/>
      </w:tblGrid>
      <w:tr>
        <w:trPr/>
        <w:tc>
          <w:tcPr>
            <w:tcW w:w="9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Purchase Price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2025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586,238 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798,250 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184,821 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had $6.0 million and $3.0 million, respectively, accrued for the future cash settlement of executed repurchases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33475"/>
                <wp:effectExtent l="0" t="0" r="0" b="0"/>
                <wp:wrapNone/>
                <wp:docPr id="9" name="Frame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Duchossois Group Share Repurchase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6. STOCK-BASED COMPENSATION PLANS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plan was $3.6 million for the three months ended March 31, 2025 and $7.2 million for the three months ended March 31, 2024. At March 31, 2025 and December 31, 2024, the Company had $9.1 million and $25.0 million, respectively, recorded as liability-classified awards, which are included in accrued expense and other liabilities in the accompanying Condensed Consolidated Balance Sheets.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awarded RSUs to employees, as well as RSUs and PSUs to certain named executive officers ("NEOs"). The vesting criteria for the PSU awards granted in 2025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RSUs and PSUs granted during 2025 is presented below (units in thousands):</w:t>
      </w:r>
    </w:p>
    <w:tbl>
      <w:tblPr>
        <w:tblW w:w="10205" w:type="dxa"/>
        <w:jc w:val="left"/>
        <w:tblInd w:w="0" w:type="dxa"/>
        <w:tblLayout w:type="fixed"/>
        <w:tblCellMar>
          <w:top w:w="28" w:type="dxa"/>
          <w:left w:w="28" w:type="dxa"/>
          <w:bottom w:w="28" w:type="dxa"/>
          <w:right w:w="28" w:type="dxa"/>
        </w:tblCellMar>
      </w:tblPr>
      <w:tblGrid>
        <w:gridCol w:w="385"/>
        <w:gridCol w:w="340"/>
        <w:gridCol w:w="341"/>
        <w:gridCol w:w="109"/>
        <w:gridCol w:w="109"/>
        <w:gridCol w:w="109"/>
        <w:gridCol w:w="374"/>
        <w:gridCol w:w="374"/>
        <w:gridCol w:w="376"/>
        <w:gridCol w:w="109"/>
        <w:gridCol w:w="109"/>
        <w:gridCol w:w="109"/>
        <w:gridCol w:w="788"/>
        <w:gridCol w:w="788"/>
        <w:gridCol w:w="790"/>
        <w:gridCol w:w="109"/>
        <w:gridCol w:w="109"/>
        <w:gridCol w:w="109"/>
        <w:gridCol w:w="1378"/>
        <w:gridCol w:w="1355"/>
        <w:gridCol w:w="1935"/>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Units Awarded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Terms</w:t>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 equally over three service periods ending in 2027</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performance and service period ending in 2027</w:t>
            </w:r>
          </w:p>
        </w:tc>
      </w:tr>
    </w:tbl>
    <w:p>
      <w:pPr>
        <w:pStyle w:val="TextBody"/>
        <w:bidi w:val="0"/>
        <w:spacing w:lineRule="auto" w:line="288" w:before="120" w:after="12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PSUs reflect the target number of units for the original PSU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33475"/>
                <wp:effectExtent l="0" t="0" r="0" b="0"/>
                <wp:wrapNone/>
                <wp:docPr id="10" name="Frame1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total debt outstanding:</w:t>
      </w:r>
    </w:p>
    <w:tbl>
      <w:tblPr>
        <w:tblW w:w="7945" w:type="dxa"/>
        <w:jc w:val="left"/>
        <w:tblInd w:w="0" w:type="dxa"/>
        <w:tblLayout w:type="fixed"/>
        <w:tblCellMar>
          <w:top w:w="28" w:type="dxa"/>
          <w:left w:w="28" w:type="dxa"/>
          <w:bottom w:w="28" w:type="dxa"/>
          <w:right w:w="28" w:type="dxa"/>
        </w:tblCellMar>
      </w:tblPr>
      <w:tblGrid>
        <w:gridCol w:w="1594"/>
        <w:gridCol w:w="1400"/>
        <w:gridCol w:w="1415"/>
        <w:gridCol w:w="279"/>
        <w:gridCol w:w="1016"/>
        <w:gridCol w:w="144"/>
        <w:gridCol w:w="109"/>
        <w:gridCol w:w="109"/>
        <w:gridCol w:w="109"/>
        <w:gridCol w:w="330"/>
        <w:gridCol w:w="1199"/>
        <w:gridCol w:w="241"/>
      </w:tblGrid>
      <w:tr>
        <w:trPr/>
        <w:tc>
          <w:tcPr>
            <w:tcW w:w="15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 due 2028</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due 2029</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2030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2031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Unamortized premium and deferred finance charges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 and costs</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4,844.1 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Company’s senior secured credit facility (as amended from time to time, the “Credit Agreement") consisted of a $1.2 billion revolving credit facility (the "Revolver"), $288.0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pStyle w:val="TextBody"/>
        <w:bidi w:val="0"/>
        <w:spacing w:lineRule="auto" w:line="26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w:t>
      </w:r>
    </w:p>
    <w:p>
      <w:pPr>
        <w:pStyle w:val="TextBody"/>
        <w:bidi w:val="0"/>
        <w:spacing w:lineRule="auto" w:line="26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B-1 requires quarterly payments of 0.25% of the original $300.0 million balance and may be subject to additional mandatory prepayment from excess cash flow on an annual basis per the provisions of the Credit Agreement.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Revolver and Term Loan A bear interest at SOFR plus 10 basis points, plus a variable applicable margin which is determined by the Company's net leverage ratio. As of March 31, 2025, that applicable margin was 150 basis points, which was based on the pricing grid in the Credit Agreement. The Company had $830.9 million available borrowing capacity, after consideration of $7.4 million in outstanding letters of credit, under the Revolver as of March 31, 2025.</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commitment fee on the unused portion of the Revolver, as determined by a pricing grid based on the consolidated total net secured leverage ratio of the Company. For the period ended March 31, 2025, the Company's commitment fee rate was 0.25%.</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2027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33475"/>
                <wp:effectExtent l="0" t="0" r="0" b="0"/>
                <wp:wrapNone/>
                <wp:docPr id="11" name="Frame1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2028 Senior Notes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2030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2031 Senior Notes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any time prior to April 25, 2025, at redemption prices set forth in the 2031 Offering Memorandum.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8. REVENUE FROM CONTRACTS WITH CUSTOMERS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Live and Historical Racing segment had remaining performance obligations on contracts with a duration greater than one year relating to television rights, sponsorships, personal seat licenses, and admissions, with an aggregate transaction price of $290.4 million. The revenue we expect to recognize on these remaining performance obligations is $67.3 million for the remainder of 2025, $62.8 million in 2026, $49.6 million in 2027, and the remainder thereafter.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Contract Assets and Contract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contract assets were not material.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contract liabilities were $174.2 million and $81.5 million, respectively, which are included in current deferred revenue, non-current deferred revenue, and accrued expense in the accompanying Condensed Consolidated Balance Sheets. Contract liabilities primarily relate to the Live and Historical Racing segment and the increase was primarily due to deferred revenue related to the 151st Kentucky Derby. We recognized $6.0 million of revenue during the three months ended March 31, 2025, which was included in the contract liabilities balance at December 31, 2024. We recognized $5.8 million of revenue during the three months ended March 31, 2024, which was included in the contract liabilities balance at December 31, 2023.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ans-serif" w:hAnsi="Times New Roman;sans-serif"/>
          <w:b w:val="false"/>
          <w:color w:val="000000"/>
          <w:sz w:val="20"/>
        </w:rPr>
        <w:t>For the Wagering Services and Solutions segment, revenue is disaggregated between live and simulcast racing, gaming,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33475"/>
                <wp:effectExtent l="0" t="0" r="0" b="0"/>
                <wp:wrapNone/>
                <wp:docPr id="12" name="Frame1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60" w:after="120"/>
        <w:ind w:left="0" w:right="0" w:hanging="360"/>
        <w:jc w:val="both"/>
        <w:rPr>
          <w:color w:val="000000"/>
        </w:rPr>
      </w:pPr>
      <w:r>
        <w:rPr>
          <w:color w:val="000000"/>
        </w:rPr>
        <w:t>•    </w:t>
      </w:r>
      <w:r>
        <w:rPr>
          <w:rFonts w:ascii="Times New Roman;sans-serif" w:hAnsi="Times New Roman;sans-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tbl>
      <w:tblPr>
        <w:tblW w:w="6457" w:type="dxa"/>
        <w:jc w:val="left"/>
        <w:tblInd w:w="0" w:type="dxa"/>
        <w:tblLayout w:type="fixed"/>
        <w:tblCellMar>
          <w:top w:w="28" w:type="dxa"/>
          <w:left w:w="28" w:type="dxa"/>
          <w:bottom w:w="28" w:type="dxa"/>
          <w:right w:w="28" w:type="dxa"/>
        </w:tblCellMar>
      </w:tblPr>
      <w:tblGrid>
        <w:gridCol w:w="1196"/>
        <w:gridCol w:w="1047"/>
        <w:gridCol w:w="1056"/>
        <w:gridCol w:w="267"/>
        <w:gridCol w:w="781"/>
        <w:gridCol w:w="138"/>
        <w:gridCol w:w="138"/>
        <w:gridCol w:w="138"/>
        <w:gridCol w:w="138"/>
        <w:gridCol w:w="267"/>
        <w:gridCol w:w="781"/>
        <w:gridCol w:w="138"/>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Racetrack</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Kentucky</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Southwestern Kentucky</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Kentucky</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Live and Historical Racing</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Wagering Services and Solutions:</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from external customers</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Intercompany net revenues: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net revenue</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33475"/>
                <wp:effectExtent l="0" t="0" r="0" b="0"/>
                <wp:wrapNone/>
                <wp:docPr id="13" name="Frame1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49"/>
        <w:gridCol w:w="532"/>
        <w:gridCol w:w="539"/>
        <w:gridCol w:w="316"/>
        <w:gridCol w:w="925"/>
        <w:gridCol w:w="165"/>
        <w:gridCol w:w="109"/>
        <w:gridCol w:w="109"/>
        <w:gridCol w:w="109"/>
        <w:gridCol w:w="350"/>
        <w:gridCol w:w="1026"/>
        <w:gridCol w:w="183"/>
        <w:gridCol w:w="109"/>
        <w:gridCol w:w="109"/>
        <w:gridCol w:w="109"/>
        <w:gridCol w:w="211"/>
        <w:gridCol w:w="616"/>
        <w:gridCol w:w="109"/>
        <w:gridCol w:w="109"/>
        <w:gridCol w:w="109"/>
        <w:gridCol w:w="109"/>
        <w:gridCol w:w="244"/>
        <w:gridCol w:w="712"/>
        <w:gridCol w:w="126"/>
        <w:gridCol w:w="109"/>
        <w:gridCol w:w="109"/>
        <w:gridCol w:w="109"/>
        <w:gridCol w:w="226"/>
        <w:gridCol w:w="436"/>
        <w:gridCol w:w="117"/>
        <w:gridCol w:w="109"/>
        <w:gridCol w:w="109"/>
        <w:gridCol w:w="109"/>
        <w:gridCol w:w="211"/>
        <w:gridCol w:w="616"/>
        <w:gridCol w:w="161"/>
      </w:tblGrid>
      <w:tr>
        <w:trPr/>
        <w:tc>
          <w:tcPr>
            <w:tcW w:w="7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simulcast racing</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Historical racing</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Racing event-related services</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749"/>
        <w:gridCol w:w="532"/>
        <w:gridCol w:w="539"/>
        <w:gridCol w:w="316"/>
        <w:gridCol w:w="925"/>
        <w:gridCol w:w="165"/>
        <w:gridCol w:w="109"/>
        <w:gridCol w:w="109"/>
        <w:gridCol w:w="109"/>
        <w:gridCol w:w="350"/>
        <w:gridCol w:w="1026"/>
        <w:gridCol w:w="183"/>
        <w:gridCol w:w="109"/>
        <w:gridCol w:w="109"/>
        <w:gridCol w:w="109"/>
        <w:gridCol w:w="211"/>
        <w:gridCol w:w="616"/>
        <w:gridCol w:w="109"/>
        <w:gridCol w:w="109"/>
        <w:gridCol w:w="109"/>
        <w:gridCol w:w="109"/>
        <w:gridCol w:w="244"/>
        <w:gridCol w:w="712"/>
        <w:gridCol w:w="126"/>
        <w:gridCol w:w="109"/>
        <w:gridCol w:w="109"/>
        <w:gridCol w:w="109"/>
        <w:gridCol w:w="226"/>
        <w:gridCol w:w="436"/>
        <w:gridCol w:w="117"/>
        <w:gridCol w:w="109"/>
        <w:gridCol w:w="109"/>
        <w:gridCol w:w="109"/>
        <w:gridCol w:w="211"/>
        <w:gridCol w:w="616"/>
        <w:gridCol w:w="161"/>
      </w:tblGrid>
      <w:tr>
        <w:trPr/>
        <w:tc>
          <w:tcPr>
            <w:tcW w:w="7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simulcast racing</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Historical racing</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Racing event-related services</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$14.4 million for the three months ended March 31, 2025 and $13.4 million for the three months ended March 31, 2024.</w:t>
      </w:r>
    </w:p>
    <w:p>
      <w:pPr>
        <w:pStyle w:val="TextBody"/>
        <w:bidi w:val="0"/>
        <w:spacing w:before="180" w:after="18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33475"/>
                <wp:effectExtent l="0" t="0" r="0" b="0"/>
                <wp:wrapNone/>
                <wp:docPr id="14" name="Frame1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SUPPLEMENTAL BALANCE SHEET INFORMATION</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comprised of the following:</w:t>
      </w:r>
    </w:p>
    <w:tbl>
      <w:tblPr>
        <w:tblW w:w="7120" w:type="dxa"/>
        <w:jc w:val="left"/>
        <w:tblInd w:w="0" w:type="dxa"/>
        <w:tblLayout w:type="fixed"/>
        <w:tblCellMar>
          <w:top w:w="28" w:type="dxa"/>
          <w:left w:w="28" w:type="dxa"/>
          <w:bottom w:w="28" w:type="dxa"/>
          <w:right w:w="28" w:type="dxa"/>
        </w:tblCellMar>
      </w:tblPr>
      <w:tblGrid>
        <w:gridCol w:w="1295"/>
        <w:gridCol w:w="1138"/>
        <w:gridCol w:w="1151"/>
        <w:gridCol w:w="324"/>
        <w:gridCol w:w="948"/>
        <w:gridCol w:w="167"/>
        <w:gridCol w:w="109"/>
        <w:gridCol w:w="109"/>
        <w:gridCol w:w="109"/>
        <w:gridCol w:w="426"/>
        <w:gridCol w:w="1031"/>
        <w:gridCol w:w="313"/>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Simulcast and online wagering receivables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both"/>
        <w:rPr>
          <w:rFonts w:ascii="Times New Roman;sans-serif" w:hAnsi="Times New Roman;sans-serif"/>
          <w:b/>
          <w:i/>
          <w:color w:val="000000"/>
          <w:sz w:val="20"/>
        </w:rPr>
      </w:pPr>
      <w:r>
        <w:rPr>
          <w:rFonts w:ascii="Times New Roman;sans-serif" w:hAnsi="Times New Roman;sans-serif"/>
          <w:b/>
          <w:i/>
          <w:color w:val="000000"/>
          <w:sz w:val="20"/>
        </w:rPr>
        <w:t>Other current assets</w:t>
      </w:r>
    </w:p>
    <w:tbl>
      <w:tblPr>
        <w:tblW w:w="5967" w:type="dxa"/>
        <w:jc w:val="left"/>
        <w:tblInd w:w="0" w:type="dxa"/>
        <w:tblLayout w:type="fixed"/>
        <w:tblCellMar>
          <w:top w:w="28" w:type="dxa"/>
          <w:left w:w="28" w:type="dxa"/>
          <w:bottom w:w="28" w:type="dxa"/>
          <w:right w:w="28" w:type="dxa"/>
        </w:tblCellMar>
      </w:tblPr>
      <w:tblGrid>
        <w:gridCol w:w="918"/>
        <w:gridCol w:w="804"/>
        <w:gridCol w:w="708"/>
        <w:gridCol w:w="365"/>
        <w:gridCol w:w="886"/>
        <w:gridCol w:w="189"/>
        <w:gridCol w:w="109"/>
        <w:gridCol w:w="109"/>
        <w:gridCol w:w="109"/>
        <w:gridCol w:w="426"/>
        <w:gridCol w:w="1031"/>
        <w:gridCol w:w="313"/>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technology costs</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taxes</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costs</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deposits and other</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609" w:type="dxa"/>
        <w:jc w:val="left"/>
        <w:tblInd w:w="0" w:type="dxa"/>
        <w:tblLayout w:type="fixed"/>
        <w:tblCellMar>
          <w:top w:w="28" w:type="dxa"/>
          <w:left w:w="28" w:type="dxa"/>
          <w:bottom w:w="28" w:type="dxa"/>
          <w:right w:w="28" w:type="dxa"/>
        </w:tblCellMar>
      </w:tblPr>
      <w:tblGrid>
        <w:gridCol w:w="1111"/>
        <w:gridCol w:w="976"/>
        <w:gridCol w:w="987"/>
        <w:gridCol w:w="324"/>
        <w:gridCol w:w="948"/>
        <w:gridCol w:w="167"/>
        <w:gridCol w:w="109"/>
        <w:gridCol w:w="109"/>
        <w:gridCol w:w="109"/>
        <w:gridCol w:w="380"/>
        <w:gridCol w:w="1110"/>
        <w:gridCol w:w="27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wagering deposits liability</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related benefits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Purses payable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fixed assets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gaming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taxes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REDEEMABLE NONCONTROLLING INTEREST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the Company closed on the sale of 49% of United Tote, a wholly 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33475"/>
                <wp:effectExtent l="0" t="0" r="0" b="0"/>
                <wp:wrapNone/>
                <wp:docPr id="15" name="Frame1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14, Net Income Per Common Share Computations). The table below depicts changes in the Company’s redeemable noncontrolling interest balance.</w:t>
      </w:r>
    </w:p>
    <w:tbl>
      <w:tblPr>
        <w:tblW w:w="6348" w:type="dxa"/>
        <w:jc w:val="left"/>
        <w:tblInd w:w="0" w:type="dxa"/>
        <w:tblLayout w:type="fixed"/>
        <w:tblCellMar>
          <w:top w:w="28" w:type="dxa"/>
          <w:left w:w="28" w:type="dxa"/>
          <w:bottom w:w="28" w:type="dxa"/>
          <w:right w:w="28" w:type="dxa"/>
        </w:tblCellMar>
      </w:tblPr>
      <w:tblGrid>
        <w:gridCol w:w="1860"/>
        <w:gridCol w:w="1635"/>
        <w:gridCol w:w="1650"/>
        <w:gridCol w:w="211"/>
        <w:gridCol w:w="511"/>
        <w:gridCol w:w="109"/>
        <w:gridCol w:w="109"/>
        <w:gridCol w:w="109"/>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value adjustment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ans-serif" w:hAnsi="Times New Roman;sans-serif"/>
          <w:b/>
          <w:color w:val="000000"/>
          <w:sz w:val="20"/>
        </w:rPr>
        <w:t>11. INVESTMENTS IN AND ADVANCES TO UNCONSOLIDATED AFFILIATES</w:t>
      </w:r>
      <w:r>
        <w:rPr>
          <w:color w:val="000000"/>
          <w:shd w:fill="FFFFFF" w:val="clear"/>
        </w:rPr>
        <w:t xml:space="preserv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and advances to unconsolidated affiliates as of March 31, 2025 and December 31, 2024 primarily consisted of interests in Rivers Casino Des Plaines ("Rivers Des Plaines") and Miami Valley Gaming and Racing ("MVG").</w:t>
      </w:r>
    </w:p>
    <w:p>
      <w:pPr>
        <w:pStyle w:val="TextBody"/>
        <w:bidi w:val="0"/>
        <w:spacing w:lineRule="auto" w:line="288" w:before="6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Rivers Casino Des Plaines </w:t>
      </w:r>
    </w:p>
    <w:p>
      <w:pPr>
        <w:pStyle w:val="TextBody"/>
        <w:bidi w:val="0"/>
        <w:spacing w:lineRule="auto" w:line="288" w:before="60" w:after="120"/>
        <w:jc w:val="both"/>
        <w:rPr/>
      </w:pPr>
      <w:r>
        <w:rPr>
          <w:rFonts w:ascii="Times New Roman;sans-serif" w:hAnsi="Times New Roman;sans-serif"/>
          <w:b w:val="false"/>
          <w:color w:val="000000"/>
          <w:sz w:val="20"/>
        </w:rPr>
        <w:t xml:space="preserve">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net aggregate basis difference between the Company’s investment in Rivers Des Plaines and the amounts of the underlying equity in net assets </w:t>
      </w:r>
      <w:r>
        <w:rPr>
          <w:rFonts w:ascii="Times New Roman;sans-serif" w:hAnsi="Times New Roman;sans-serif"/>
          <w:b w:val="false"/>
          <w:color w:val="000000"/>
          <w:sz w:val="20"/>
        </w:rPr>
        <w:t>was $833.0 million.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Rivers Des Plaines was $548.4 million and $547.1 million as of March 31, 2025 and December 31, 2024, respectively. The Company received distributions from Rivers Des Plaines of $20.9 million and $34.5 million for the three months ended March 31, 2025 and 2024, respectively.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Miami Valley Gaming and Racing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MVG was $114.7 million and $114.1 million as of March 31, 2025 and December 31, 2024, respectively. The Company received distributions from MVG of $10.5 million in each of the three month periods ended March 31, 2025 and 2024.</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Summarized Financial Results for our Unconsolidated Affiliates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below are the financial results for our unconsolidated affiliates. </w:t>
      </w:r>
    </w:p>
    <w:tbl>
      <w:tblPr>
        <w:tblW w:w="5862" w:type="dxa"/>
        <w:jc w:val="left"/>
        <w:tblInd w:w="0" w:type="dxa"/>
        <w:tblLayout w:type="fixed"/>
        <w:tblCellMar>
          <w:top w:w="28" w:type="dxa"/>
          <w:left w:w="28" w:type="dxa"/>
          <w:bottom w:w="28" w:type="dxa"/>
          <w:right w:w="28" w:type="dxa"/>
        </w:tblCellMar>
      </w:tblPr>
      <w:tblGrid>
        <w:gridCol w:w="939"/>
        <w:gridCol w:w="824"/>
        <w:gridCol w:w="832"/>
        <w:gridCol w:w="267"/>
        <w:gridCol w:w="781"/>
        <w:gridCol w:w="138"/>
        <w:gridCol w:w="138"/>
        <w:gridCol w:w="138"/>
        <w:gridCol w:w="138"/>
        <w:gridCol w:w="267"/>
        <w:gridCol w:w="781"/>
        <w:gridCol w:w="138"/>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SG&amp;A expense</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33475"/>
                <wp:effectExtent l="0" t="0" r="0" b="0"/>
                <wp:wrapNone/>
                <wp:docPr id="16" name="Frame1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tbl>
      <w:tblPr>
        <w:tblW w:w="6625" w:type="dxa"/>
        <w:jc w:val="left"/>
        <w:tblInd w:w="0" w:type="dxa"/>
        <w:tblLayout w:type="fixed"/>
        <w:tblCellMar>
          <w:top w:w="28" w:type="dxa"/>
          <w:left w:w="28" w:type="dxa"/>
          <w:bottom w:w="28" w:type="dxa"/>
          <w:right w:w="28" w:type="dxa"/>
        </w:tblCellMar>
      </w:tblPr>
      <w:tblGrid>
        <w:gridCol w:w="1118"/>
        <w:gridCol w:w="981"/>
        <w:gridCol w:w="991"/>
        <w:gridCol w:w="324"/>
        <w:gridCol w:w="948"/>
        <w:gridCol w:w="167"/>
        <w:gridCol w:w="109"/>
        <w:gridCol w:w="109"/>
        <w:gridCol w:w="109"/>
        <w:gridCol w:w="380"/>
        <w:gridCol w:w="1110"/>
        <w:gridCol w:w="279"/>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Members' Deficit</w:t>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deficit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members' deficit</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12. FAIR VALUE OF ASSETS AND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restricted cash accounts held in money market and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33475"/>
                <wp:effectExtent l="0" t="0" r="0" b="0"/>
                <wp:wrapNone/>
                <wp:docPr id="17" name="Frame1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by input level of the Company's financial instruments are as follows:</w:t>
      </w:r>
    </w:p>
    <w:tbl>
      <w:tblPr>
        <w:tblW w:w="8205" w:type="dxa"/>
        <w:jc w:val="left"/>
        <w:tblInd w:w="0" w:type="dxa"/>
        <w:tblLayout w:type="fixed"/>
        <w:tblCellMar>
          <w:top w:w="28" w:type="dxa"/>
          <w:left w:w="28" w:type="dxa"/>
          <w:bottom w:w="28" w:type="dxa"/>
          <w:right w:w="28" w:type="dxa"/>
        </w:tblCellMar>
      </w:tblPr>
      <w:tblGrid>
        <w:gridCol w:w="640"/>
        <w:gridCol w:w="562"/>
        <w:gridCol w:w="568"/>
        <w:gridCol w:w="410"/>
        <w:gridCol w:w="996"/>
        <w:gridCol w:w="214"/>
        <w:gridCol w:w="109"/>
        <w:gridCol w:w="109"/>
        <w:gridCol w:w="109"/>
        <w:gridCol w:w="259"/>
        <w:gridCol w:w="628"/>
        <w:gridCol w:w="133"/>
        <w:gridCol w:w="109"/>
        <w:gridCol w:w="109"/>
        <w:gridCol w:w="109"/>
        <w:gridCol w:w="211"/>
        <w:gridCol w:w="511"/>
        <w:gridCol w:w="109"/>
        <w:gridCol w:w="109"/>
        <w:gridCol w:w="109"/>
        <w:gridCol w:w="109"/>
        <w:gridCol w:w="261"/>
        <w:gridCol w:w="505"/>
        <w:gridCol w:w="110"/>
        <w:gridCol w:w="109"/>
        <w:gridCol w:w="109"/>
        <w:gridCol w:w="109"/>
        <w:gridCol w:w="213"/>
        <w:gridCol w:w="412"/>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13. CONTINGENCIES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33475"/>
                <wp:effectExtent l="0" t="0" r="0" b="0"/>
                <wp:wrapNone/>
                <wp:docPr id="18" name="Frame1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14. NET INCOME PER COMMON SHARE COMPUTATIONS</w:t>
      </w:r>
    </w:p>
    <w:p>
      <w:pPr>
        <w:pStyle w:val="TextBody"/>
        <w:bidi w:val="0"/>
        <w:spacing w:lineRule="auto" w:line="417"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numerator and denominator of the net income per common share computations:</w:t>
      </w:r>
    </w:p>
    <w:tbl>
      <w:tblPr>
        <w:tblW w:w="8362" w:type="dxa"/>
        <w:jc w:val="left"/>
        <w:tblInd w:w="0" w:type="dxa"/>
        <w:tblLayout w:type="fixed"/>
        <w:tblCellMar>
          <w:top w:w="28" w:type="dxa"/>
          <w:left w:w="28" w:type="dxa"/>
          <w:bottom w:w="28" w:type="dxa"/>
          <w:right w:w="28" w:type="dxa"/>
        </w:tblCellMar>
      </w:tblPr>
      <w:tblGrid>
        <w:gridCol w:w="1880"/>
        <w:gridCol w:w="1658"/>
        <w:gridCol w:w="1666"/>
        <w:gridCol w:w="296"/>
        <w:gridCol w:w="717"/>
        <w:gridCol w:w="152"/>
        <w:gridCol w:w="152"/>
        <w:gridCol w:w="152"/>
        <w:gridCol w:w="152"/>
        <w:gridCol w:w="296"/>
        <w:gridCol w:w="717"/>
        <w:gridCol w:w="152"/>
        <w:gridCol w:w="109"/>
        <w:gridCol w:w="109"/>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millions, except per share data)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net income per common share:</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Churchill Downs Incorporated</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redeemable noncontrolling interest</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net income per common share:</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dilutive effect of stock awards</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data:</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w:t>
            </w:r>
          </w:p>
        </w:tc>
        <w:tc>
          <w:tcPr>
            <w:tcW w:w="2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 as applicable in each period: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includes our portion of EBITDA from our equity investments and the portion of EBITDA attributable to a noncontrolling interest.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Acquisition, disposition, and property sale related charges;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Asset impairments;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charges, recoveries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33475"/>
                <wp:effectExtent l="0" t="0" r="0" b="0"/>
                <wp:wrapNone/>
                <wp:docPr id="19" name="Frame1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net revenue from external customers, Adjusted EBITDA by segment and reconciles comprehensive income to Adjusted EBITDA: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by segment is comprised of the following:</w:t>
      </w:r>
    </w:p>
    <w:tbl>
      <w:tblPr>
        <w:tblW w:w="5963" w:type="dxa"/>
        <w:jc w:val="left"/>
        <w:tblInd w:w="0" w:type="dxa"/>
        <w:tblLayout w:type="fixed"/>
        <w:tblCellMar>
          <w:top w:w="28" w:type="dxa"/>
          <w:left w:w="28" w:type="dxa"/>
          <w:bottom w:w="28" w:type="dxa"/>
          <w:right w:w="28" w:type="dxa"/>
        </w:tblCellMar>
      </w:tblPr>
      <w:tblGrid>
        <w:gridCol w:w="1014"/>
        <w:gridCol w:w="891"/>
        <w:gridCol w:w="900"/>
        <w:gridCol w:w="267"/>
        <w:gridCol w:w="781"/>
        <w:gridCol w:w="138"/>
        <w:gridCol w:w="138"/>
        <w:gridCol w:w="138"/>
        <w:gridCol w:w="138"/>
        <w:gridCol w:w="267"/>
        <w:gridCol w:w="781"/>
        <w:gridCol w:w="138"/>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240" w:after="120"/>
        <w:jc w:val="both"/>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33475"/>
                <wp:effectExtent l="0" t="0" r="0" b="0"/>
                <wp:wrapNone/>
                <wp:docPr id="20" name="Frame2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by segment is comprised of the following: </w:t>
      </w:r>
    </w:p>
    <w:tbl>
      <w:tblPr>
        <w:tblW w:w="10205" w:type="dxa"/>
        <w:jc w:val="left"/>
        <w:tblInd w:w="0" w:type="dxa"/>
        <w:tblLayout w:type="fixed"/>
        <w:tblCellMar>
          <w:top w:w="28" w:type="dxa"/>
          <w:left w:w="28" w:type="dxa"/>
          <w:bottom w:w="28" w:type="dxa"/>
          <w:right w:w="28" w:type="dxa"/>
        </w:tblCellMar>
      </w:tblPr>
      <w:tblGrid>
        <w:gridCol w:w="1408"/>
        <w:gridCol w:w="1204"/>
        <w:gridCol w:w="1050"/>
        <w:gridCol w:w="501"/>
        <w:gridCol w:w="1470"/>
        <w:gridCol w:w="262"/>
        <w:gridCol w:w="109"/>
        <w:gridCol w:w="109"/>
        <w:gridCol w:w="109"/>
        <w:gridCol w:w="600"/>
        <w:gridCol w:w="1757"/>
        <w:gridCol w:w="313"/>
        <w:gridCol w:w="109"/>
        <w:gridCol w:w="109"/>
        <w:gridCol w:w="109"/>
        <w:gridCol w:w="211"/>
        <w:gridCol w:w="616"/>
        <w:gridCol w:w="159"/>
      </w:tblGrid>
      <w:tr>
        <w:trPr/>
        <w:tc>
          <w:tcPr>
            <w:tcW w:w="140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 taxes and purses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equipment rental and technology costs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costs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w:t>
            </w:r>
            <w:r>
              <w:rPr>
                <w:rFonts w:ascii="Times New Roman;sans-serif" w:hAnsi="Times New Roman;sans-serif"/>
                <w:b w:val="false"/>
                <w:color w:val="000000"/>
                <w:sz w:val="13"/>
              </w:rPr>
              <w:t>(1)</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08"/>
        <w:gridCol w:w="1204"/>
        <w:gridCol w:w="1050"/>
        <w:gridCol w:w="501"/>
        <w:gridCol w:w="1470"/>
        <w:gridCol w:w="262"/>
        <w:gridCol w:w="109"/>
        <w:gridCol w:w="109"/>
        <w:gridCol w:w="109"/>
        <w:gridCol w:w="600"/>
        <w:gridCol w:w="1757"/>
        <w:gridCol w:w="313"/>
        <w:gridCol w:w="109"/>
        <w:gridCol w:w="109"/>
        <w:gridCol w:w="109"/>
        <w:gridCol w:w="211"/>
        <w:gridCol w:w="616"/>
        <w:gridCol w:w="159"/>
      </w:tblGrid>
      <w:tr>
        <w:trPr/>
        <w:tc>
          <w:tcPr>
            <w:tcW w:w="140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 taxes and purses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equipment rental and technology costs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costs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w:t>
            </w:r>
            <w:r>
              <w:rPr>
                <w:rFonts w:ascii="Times New Roman;sans-serif" w:hAnsi="Times New Roman;sans-serif"/>
                <w:b w:val="false"/>
                <w:color w:val="000000"/>
                <w:sz w:val="13"/>
              </w:rPr>
              <w:t>(1)</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unconsolidated affiliates</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Other operating expense primarily includes supplies, regulatory licenses and fees, property taxes, and third-party service fees and costs.</w:t>
      </w:r>
    </w:p>
    <w:p>
      <w:pPr>
        <w:pStyle w:val="TextBody"/>
        <w:bidi w:val="0"/>
        <w:spacing w:before="120" w:after="120"/>
        <w:jc w:val="center"/>
        <w:rPr/>
      </w:pPr>
      <w:r>
        <w:rPr/>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33475"/>
                <wp:effectExtent l="0" t="0" r="0" b="0"/>
                <wp:wrapNone/>
                <wp:docPr id="21" name="Frame2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before="120" w:after="120"/>
        <w:jc w:val="left"/>
        <w:rPr/>
      </w:pPr>
      <w:r>
        <w:rPr/>
      </w:r>
    </w:p>
    <w:tbl>
      <w:tblPr>
        <w:tblW w:w="9966" w:type="dxa"/>
        <w:jc w:val="center"/>
        <w:tblInd w:w="0" w:type="dxa"/>
        <w:tblLayout w:type="fixed"/>
        <w:tblCellMar>
          <w:top w:w="28" w:type="dxa"/>
          <w:left w:w="28" w:type="dxa"/>
          <w:bottom w:w="28" w:type="dxa"/>
          <w:right w:w="28" w:type="dxa"/>
        </w:tblCellMar>
      </w:tblPr>
      <w:tblGrid>
        <w:gridCol w:w="2538"/>
        <w:gridCol w:w="2226"/>
        <w:gridCol w:w="2255"/>
        <w:gridCol w:w="247"/>
        <w:gridCol w:w="723"/>
        <w:gridCol w:w="127"/>
        <w:gridCol w:w="127"/>
        <w:gridCol w:w="127"/>
        <w:gridCol w:w="127"/>
        <w:gridCol w:w="247"/>
        <w:gridCol w:w="723"/>
        <w:gridCol w:w="127"/>
        <w:gridCol w:w="109"/>
        <w:gridCol w:w="109"/>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Comprehensive Income to Adjusted EBITDA:</w:t>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 attributable to Churchill Downs Incorporated</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net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depreciation and amortization expense related to equity investments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recoveries, net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by segment:</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Adjusted EBITDA</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total asset information for each of our segments:</w:t>
      </w:r>
    </w:p>
    <w:tbl>
      <w:tblPr>
        <w:tblW w:w="6340" w:type="dxa"/>
        <w:jc w:val="left"/>
        <w:tblInd w:w="0" w:type="dxa"/>
        <w:tblLayout w:type="fixed"/>
        <w:tblCellMar>
          <w:top w:w="28" w:type="dxa"/>
          <w:left w:w="28" w:type="dxa"/>
          <w:bottom w:w="28" w:type="dxa"/>
          <w:right w:w="28" w:type="dxa"/>
        </w:tblCellMar>
      </w:tblPr>
      <w:tblGrid>
        <w:gridCol w:w="1014"/>
        <w:gridCol w:w="891"/>
        <w:gridCol w:w="899"/>
        <w:gridCol w:w="279"/>
        <w:gridCol w:w="1016"/>
        <w:gridCol w:w="144"/>
        <w:gridCol w:w="109"/>
        <w:gridCol w:w="109"/>
        <w:gridCol w:w="109"/>
        <w:gridCol w:w="330"/>
        <w:gridCol w:w="1199"/>
        <w:gridCol w:w="241"/>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millions)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2024</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7,347.1 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7,275.9 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33475"/>
                <wp:effectExtent l="0" t="0" r="0" b="0"/>
                <wp:wrapNone/>
                <wp:docPr id="22" name="Frame2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total capital expenditures for each of our segments:</w:t>
      </w:r>
    </w:p>
    <w:tbl>
      <w:tblPr>
        <w:tblW w:w="5592" w:type="dxa"/>
        <w:jc w:val="left"/>
        <w:tblInd w:w="0" w:type="dxa"/>
        <w:tblLayout w:type="fixed"/>
        <w:tblCellMar>
          <w:top w:w="28" w:type="dxa"/>
          <w:left w:w="28" w:type="dxa"/>
          <w:bottom w:w="28" w:type="dxa"/>
          <w:right w:w="28" w:type="dxa"/>
        </w:tblCellMar>
      </w:tblPr>
      <w:tblGrid>
        <w:gridCol w:w="1073"/>
        <w:gridCol w:w="943"/>
        <w:gridCol w:w="954"/>
        <w:gridCol w:w="259"/>
        <w:gridCol w:w="627"/>
        <w:gridCol w:w="133"/>
        <w:gridCol w:w="133"/>
        <w:gridCol w:w="133"/>
        <w:gridCol w:w="133"/>
        <w:gridCol w:w="259"/>
        <w:gridCol w:w="756"/>
        <w:gridCol w:w="189"/>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capital expenditures</w:t>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33475"/>
                <wp:effectExtent l="0" t="0" r="0" b="0"/>
                <wp:wrapNone/>
                <wp:docPr id="23" name="Frame2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35"/>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occurrence of extraordinary events, such as terrorist attacks, public health threats, civil unrest, and inclement weather, including as a result of climate change;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effect of economic conditions on our consumers' confidence and discretionary spending or our access to credit, including the impact of inflation;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changes in, or new interpretations of, applicable tax law or rulings that could result in additional tax liabilities;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impact of any pandemics, epidemics, or outbreaks of infectious diseases, and related economic matters on our results of operations, financial conditions, and prospects;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lack of confidence in the integrity of our core businesses or any deterioration in our reputation;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 xml:space="preserve">negative shifts in public opinion regarding gambling that could result in increased regulation of, or new restrictions on, the gaming industry;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loss of key or highly skilled personnel, as well as general disruptions in the general labor market;</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impact of significant competition, and the expectation that competition levels will increase;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changes in consumer preferences, attendance, wagering, and sponsorships;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risks associated with equity investments, strategic alliances, and other third-party agreements;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inability to respond to rapid technological changes in a timely manner;</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concentration and evolution of slot machine and historical racing machine ("HRM") manufacturing and other technology conditions that could impose additional costs;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failure to enter into or maintain agreements with industry constituents, including horsemen and other racetracks;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 xml:space="preserve">inability to successfully focus on market access and retail operations for our sports betting business and effectively compete;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online security risk, including cyber-security breaches, or loss or misuse of our stored information as a result of a breach including customers’ personal information could lead to government enforcement actions or other litigation;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costs of compliance with increasingly complex laws and regulations regarding data privacy and protection of personal information;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reliance on our technology services and catastrophic events and system failures disrupting our operations;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inability to identify, complete, or fully realize the benefits of, our proposed acquisitions, divestitures, development of new venues or the expansion of existing facilities on time, on budget, or as planned;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difficulty in integrating recent or future acquisitions into our operations;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cost overruns and other uncertainties associated with the development of new venues and the expansion of existing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33475"/>
                <wp:effectExtent l="0" t="0" r="0" b="0"/>
                <wp:wrapNone/>
                <wp:docPr id="24" name="Frame2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general risks related to real estate ownership and significant expenditures, including risks related to environmental liabilities;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personal injury litigation related to injuries occurring at our racetracks;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compliance with the Foreign Corrupt Practices Act or other similar laws and regulations, or applicable anti-money laundering regulations;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payment-related risks, such as risk associated with fraudulent credit card or debit card use;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work stoppages and labor problems;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risks related to pending or future legal proceedings and other actions;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highly regulated operations and changes in the regulatory environment could adversely affect our business;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restrictions in our debt facilities limiting our flexibility to operate our business;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 xml:space="preserve">failure to comply with the financial ratios and other covenants in our debt facilities and other indebtedness;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increases to interest rates (due to inflation or otherwise);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 xml:space="preserve">disruption in the credit markets or changes to our credit ratings may adversely affect our business; </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increase in our insurance costs, or inability to obtain similar insurance coverage in the future, and any inability to recover under our insurance policies for damages sustained at our properties in the event of inclement weather and casualty events;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other factors described under the heading “Risk Factors” in our most recent Annual Report on Form 10-K and in other filings we make with the Securities and Exchange Commission.</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undertake any obligation to update or revise any forward-looking statements, whether as a result of new information, future events or otherwise, except as required by law.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information is unaudited. Tabular dollars are in millions, except per share amounts. All per share amounts assume dilution unless otherwise noted. This report should be read in conjunction with our Annual Report on Form 10-K for the year ended December 31, 2024, including Part I - Item 1A, "Risk Factors" of our Form 10-K for a discussion regarding some of the reasons that actual results may be materially different from those we anticipate.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33475"/>
                <wp:effectExtent l="0" t="0" r="0" b="0"/>
                <wp:wrapNone/>
                <wp:docPr id="25" name="Frame2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three reportable segments: Live and Historical Racing, Wagering Services and Solutions, and Gaming. We aggregate our other businesses as well as certain corporate operations in All Other. </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Key Indicators to Evaluate Business Results and Financial Condition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taxes, depreciation and amortization, adjusted for the following: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includes our portion of EBITDA from our equity investments and the portion of EBITDA attributable to a noncontrolling interest.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excludes, as applicable in each period:</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Acquisition, disposition, and property sale related charges;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Asset impairments;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charges, recoveries and expenses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Governmental Regulations and Legislative Changes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2024, including Part I - Item 1, "Business" for a discussion of regulatory and legislative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33475"/>
                <wp:effectExtent l="0" t="0" r="0" b="0"/>
                <wp:wrapNone/>
                <wp:docPr id="26" name="Frame2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Specific State Gaming Regulations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Louisiana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Louisiana, the 2021 Historical Horse Racing Act (the "2021 HHR Act") allows off-track betting facilities ("OTBs") to have up to 50 HRMs. On October 25, 2022, a number of individual plaintiffs associated with video poker and truckstops,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Oral arguments took place before the Louisiana Supreme Court on January 27, 2025, and an opinion was issued on March 21, 2025. The opinion affirmed the ruling of the District Court, which stated the 2021 HHR Act is unconstitutional, and that before historical horse racing is licensed or permitted to be conducted in a parish it first requires a voter referendum in an affected parish. The Company submitted an Application for Rehearing to the Louisiana Supreme Court on April 4, 2025. Should this request be denied, the opinion will become final and enforceable.</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approximately 500 HRMs in OTBs in Louisiana. A final opinion by the Louisiana Supreme Court declaring the 2021 HHR Act unconstitutional could have an adverse impact on our Louisiana HRM results which are reported in our Gaming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 xml:space="preserve">Consolidated Financial Results </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net revenue, operating income, net income attributable to Churchill Downs Incorporated, Adjusted EBITDA, and certain other financial information:</w:t>
      </w:r>
    </w:p>
    <w:tbl>
      <w:tblPr>
        <w:tblW w:w="9617" w:type="dxa"/>
        <w:jc w:val="left"/>
        <w:tblInd w:w="0" w:type="dxa"/>
        <w:tblLayout w:type="fixed"/>
        <w:tblCellMar>
          <w:top w:w="28" w:type="dxa"/>
          <w:left w:w="28" w:type="dxa"/>
          <w:bottom w:w="28" w:type="dxa"/>
          <w:right w:w="28" w:type="dxa"/>
        </w:tblCellMar>
      </w:tblPr>
      <w:tblGrid>
        <w:gridCol w:w="1720"/>
        <w:gridCol w:w="1510"/>
        <w:gridCol w:w="1525"/>
        <w:gridCol w:w="390"/>
        <w:gridCol w:w="201"/>
        <w:gridCol w:w="501"/>
        <w:gridCol w:w="201"/>
        <w:gridCol w:w="201"/>
        <w:gridCol w:w="201"/>
        <w:gridCol w:w="390"/>
        <w:gridCol w:w="201"/>
        <w:gridCol w:w="501"/>
        <w:gridCol w:w="109"/>
        <w:gridCol w:w="109"/>
        <w:gridCol w:w="109"/>
        <w:gridCol w:w="211"/>
        <w:gridCol w:w="511"/>
        <w:gridCol w:w="109"/>
        <w:gridCol w:w="109"/>
        <w:gridCol w:w="109"/>
        <w:gridCol w:w="109"/>
        <w:gridCol w:w="109"/>
        <w:gridCol w:w="109"/>
        <w:gridCol w:w="109"/>
        <w:gridCol w:w="109"/>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Churchill Downs Incorporated</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Compared to Three Months Ended March 31, 2024</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Net revenue increased $51.7 million driven by a $27.4 million increase from the Live and Historical Racing segment primarily due to the opening of The Rose Gaming Resort in November 2024 and the opening of Owensboro Racing and Gaming in February 2025, a $24.0 million increase from the Gaming segment primarily driven by the opening of the Terre Haute Casino Resort in April 2024, and a $0.3 million increase from all other sources.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Operating income increased $8.3 million driven by a $10.4 million increase from the Gaming segment primarily due to the opening of the Terre Haute Casino Resort in April 2024 that was partially offset by regional gaming softness and increased competition, a $1.0 million increase in the Wagering Services and Solutions segment primarily due to Exacta, a $3.7 million decrease in transaction expenses, and a $0.3 million decrease in selling, general and administrative expenses. Partially offsetting these increases was a $5.1 million decrease in the Live and Historical segment and a $2.0 million increase in All Other operating expenses driven primarily by increased insurance expense and depreciation.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33475"/>
                <wp:effectExtent l="0" t="0" r="0" b="0"/>
                <wp:wrapNone/>
                <wp:docPr id="27" name="Frame2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ind w:left="0" w:right="0" w:hanging="360"/>
        <w:jc w:val="both"/>
        <w:rPr/>
      </w:pPr>
      <w:r>
        <w:rPr>
          <w:color w:val="000000"/>
        </w:rPr>
        <w:t>•</w:t>
      </w:r>
      <w:r>
        <w:rPr>
          <w:rFonts w:ascii="Times New Roman;sans-serif" w:hAnsi="Times New Roman;sans-serif"/>
          <w:b w:val="false"/>
          <w:color w:val="000000"/>
          <w:sz w:val="20"/>
        </w:rPr>
        <w:t>Net income attributable to Churchill Downs Incorporated decreased $3.7 million. The following impacted the comparability of the Company's net income for the three months ended March 31, 2025 compared to the three months ended March 31, 2024: a $6.7 million after-tax decrease in other recoveries, net primarily driven by insurance claim proceeds recorded in the prior year quarter, partially offset by a $5.6 million after-tax decrease in transaction, pre-opening, and other expenses. Excluding these items, net income decreased $4.8 million primarily due to a $3.0 million after-tax decrease in equity income from our unconsolidated affiliates, a $2.0 million after-tax increase in interest expense, and a $0.5 million after-tax decrease due to a portion of United Tote's income being recognized as noncontrolling interest, partially offset by a $0.7 million after-tax increase primarily driven by the results of our operations.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Adjusted EBITDA increased $2.6 million driven by a $1.2 million increase from the Live and Historical Racing segment primarily due to the opening of The Rose Gaming Resort in November 2024 and Owensboro Racing and Gaming in February 2025, an $1.7 million increase from the Wagering Services and Solutions segment primarily due to Exacta, and a $0.7 million increase from the Gaming segment driven by the opening of the Terre Haute Casino Resort in April 2024 that was partially offset by regional gaming softness and increased competition. These increases were partially offset by a decrease of All Other adjusted EBITDA of $1.0 million. </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ans-serif" w:hAnsi="Times New Roman;sans-serif"/>
          <w:b/>
          <w:color w:val="000000"/>
          <w:sz w:val="20"/>
        </w:rPr>
      </w:pPr>
      <w:r>
        <w:rPr>
          <w:rFonts w:ascii="Times New Roman;sans-serif" w:hAnsi="Times New Roman;sans-serif"/>
          <w:b/>
          <w:color w:val="000000"/>
          <w:sz w:val="20"/>
        </w:rPr>
        <w:t xml:space="preserve">Revenue by Segment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 for our segments, including intercompany revenue:</w:t>
      </w:r>
    </w:p>
    <w:tbl>
      <w:tblPr>
        <w:tblW w:w="6794" w:type="dxa"/>
        <w:jc w:val="left"/>
        <w:tblInd w:w="0" w:type="dxa"/>
        <w:tblLayout w:type="fixed"/>
        <w:tblCellMar>
          <w:top w:w="28" w:type="dxa"/>
          <w:left w:w="28" w:type="dxa"/>
          <w:bottom w:w="28" w:type="dxa"/>
          <w:right w:w="28" w:type="dxa"/>
        </w:tblCellMar>
      </w:tblPr>
      <w:tblGrid>
        <w:gridCol w:w="1014"/>
        <w:gridCol w:w="891"/>
        <w:gridCol w:w="900"/>
        <w:gridCol w:w="267"/>
        <w:gridCol w:w="781"/>
        <w:gridCol w:w="138"/>
        <w:gridCol w:w="138"/>
        <w:gridCol w:w="138"/>
        <w:gridCol w:w="138"/>
        <w:gridCol w:w="267"/>
        <w:gridCol w:w="781"/>
        <w:gridCol w:w="138"/>
        <w:gridCol w:w="109"/>
        <w:gridCol w:w="109"/>
        <w:gridCol w:w="109"/>
        <w:gridCol w:w="211"/>
        <w:gridCol w:w="51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Compared to Three Months Ended March 31, 2024</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Live and Historical Racing revenue increased $27.5 million due to an $18.2 million increase at our Virginia HRM venues, an $8.9 million increase from our Kentucky HRM venues, and a $0.4 million increase from our other Live and Historical Racing properties. The Virginia HRM increase of $18.2 million was primarily due to the November 2024 opening of The Rose Gaming Resort in Northern Virginia, partially offset by a decrease from our other Virginia HRM venues primarily due to lower unrated play from consumer softness and competition, inclement weather, and one less day in the quarter due to the 2024 leap year. The Kentucky HRM increase of $8.9 million was primarily due to the February 2025 opening of Owensboro Racing and Gaming in Western Kentucky and growth from our Northern and Southwestern Kentucky properties, partially offset by a decrease at our Louisville properties due to the impact of weather and one less day in the quarter due to 2024 leap year.</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Wagering Services and Solutions revenue increased $1.7 million due to a $3.1 million increase from Exacta due to incremental HRMs in Virginia and New Hampshire and a $0.8 million increase in TwinSpires Horse Racing. These increases were partially offset by a $2.2 million decrease from our sports betting business.</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Gaming revenue increased $24.0 million due to a $31.6 million increase from the April 2024 opening of the Terre Haute Casino Resort, partially offset by a $7.6 million decrease primarily due to regional gaming softness, increased competition, one less day in the quarter due to the 2024 leap year, and the impact of weather at certain properties.</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All Other revenue increased $2.0 million due to intercompany revenue related to the captive insurance company that was established in April 2024. All captive revenue is eliminated in consolidation.</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33475"/>
                <wp:effectExtent l="0" t="0" r="0" b="0"/>
                <wp:wrapNone/>
                <wp:docPr id="28" name="Frame2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Consolidated Operating Expense</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consolidated operating expense:</w:t>
      </w:r>
    </w:p>
    <w:tbl>
      <w:tblPr>
        <w:tblW w:w="7764" w:type="dxa"/>
        <w:jc w:val="left"/>
        <w:tblInd w:w="0" w:type="dxa"/>
        <w:tblLayout w:type="fixed"/>
        <w:tblCellMar>
          <w:top w:w="28" w:type="dxa"/>
          <w:left w:w="28" w:type="dxa"/>
          <w:bottom w:w="28" w:type="dxa"/>
          <w:right w:w="28" w:type="dxa"/>
        </w:tblCellMar>
      </w:tblPr>
      <w:tblGrid>
        <w:gridCol w:w="1323"/>
        <w:gridCol w:w="1163"/>
        <w:gridCol w:w="1173"/>
        <w:gridCol w:w="496"/>
        <w:gridCol w:w="285"/>
        <w:gridCol w:w="286"/>
        <w:gridCol w:w="256"/>
        <w:gridCol w:w="256"/>
        <w:gridCol w:w="256"/>
        <w:gridCol w:w="496"/>
        <w:gridCol w:w="285"/>
        <w:gridCol w:w="286"/>
        <w:gridCol w:w="109"/>
        <w:gridCol w:w="109"/>
        <w:gridCol w:w="109"/>
        <w:gridCol w:w="211"/>
        <w:gridCol w:w="51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 and purses</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other taxes</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net</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Three Months Ended March 31, 2024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increased $43.4 million for the three months ended March 31, 2025 compared to March 31, 2024 primarily due to the opening of Terre Haute Casino Resort in Indiana in April 2024 and the hotel in May 2024, and The Rose Gaming Resort in Virginia in November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tbl>
      <w:tblPr>
        <w:tblW w:w="6743" w:type="dxa"/>
        <w:jc w:val="left"/>
        <w:tblInd w:w="0" w:type="dxa"/>
        <w:tblLayout w:type="fixed"/>
        <w:tblCellMar>
          <w:top w:w="28" w:type="dxa"/>
          <w:left w:w="28" w:type="dxa"/>
          <w:bottom w:w="28" w:type="dxa"/>
          <w:right w:w="28" w:type="dxa"/>
        </w:tblCellMar>
      </w:tblPr>
      <w:tblGrid>
        <w:gridCol w:w="1025"/>
        <w:gridCol w:w="900"/>
        <w:gridCol w:w="909"/>
        <w:gridCol w:w="267"/>
        <w:gridCol w:w="781"/>
        <w:gridCol w:w="138"/>
        <w:gridCol w:w="138"/>
        <w:gridCol w:w="138"/>
        <w:gridCol w:w="138"/>
        <w:gridCol w:w="267"/>
        <w:gridCol w:w="781"/>
        <w:gridCol w:w="138"/>
        <w:gridCol w:w="109"/>
        <w:gridCol w:w="109"/>
        <w:gridCol w:w="109"/>
        <w:gridCol w:w="217"/>
        <w:gridCol w:w="419"/>
        <w:gridCol w:w="160"/>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Wagering Services and Solutions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Adjusted EBITDA</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Compared to Three Months Ended March 31, 2024</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Live and Historical Racing Adjusted EBITDA increased $1.2 million due to a $3.1 million increase at our Kentucky HRM venues, partially offset by a $1.9 million decrease primarily from our Virginia HRM venues. Our Kentucky HRM venues increase was primarily due to the February 2025 opening of Owensboro Racing and Gaming in Western Kentucky and growth at our Northern and Southwestern Kentucky properties, partially offset by a decrease from our Louisville properties due to inclement weather and one less day in the quarter due to the 2024 leap year. Our Virginia HRM venues decreased $2.0 million primarily due to lower unrated play from consumer softness and competition, the impact of weather, increased handle tax and racing-related expenses, and one less day in the quarter due to the 2024 leap year, partially offset by the November 2024 opening of The Rose Gaming Resort.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33475"/>
                <wp:effectExtent l="0" t="0" r="0" b="0"/>
                <wp:wrapNone/>
                <wp:docPr id="29" name="Frame2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Wagering Services and Solutions Adjusted EBITDA increased $1.7 million due to a $3.8 million from Exacta due to a $2.7 million increase primarily from incremental HRMs in Virginia and New Hampshire and $1.1 million decrease from lower compensation expense. These increases were partially offset by a $1.1 million decrease from our sports betting business and a $1.0 millio</w:t>
      </w:r>
      <w:r>
        <w:rPr>
          <w:rFonts w:ascii="Times New Roman;sans-serif" w:hAnsi="Times New Roman;sans-serif"/>
          <w:b w:val="false"/>
          <w:color w:val="000000"/>
          <w:sz w:val="20"/>
          <w:shd w:fill="FFFFFF" w:val="clear"/>
        </w:rPr>
        <w:t>n decrease at</w:t>
      </w:r>
      <w:r>
        <w:rPr>
          <w:rFonts w:ascii="Times New Roman;sans-serif" w:hAnsi="Times New Roman;sans-serif"/>
          <w:b w:val="false"/>
          <w:color w:val="000000"/>
          <w:sz w:val="20"/>
        </w:rPr>
        <w:t>tributable to TwinSpires Horse Racing from increased legal expenses.</w:t>
      </w:r>
    </w:p>
    <w:p>
      <w:pPr>
        <w:pStyle w:val="TextBody"/>
        <w:bidi w:val="0"/>
        <w:spacing w:lineRule="auto" w:line="268" w:before="60" w:after="120"/>
        <w:ind w:left="0" w:right="0" w:hanging="360"/>
        <w:jc w:val="both"/>
        <w:rPr/>
      </w:pPr>
      <w:r>
        <w:rPr>
          <w:color w:val="000000"/>
        </w:rPr>
        <w:t>•</w:t>
      </w:r>
      <w:r>
        <w:rPr>
          <w:rFonts w:ascii="Times New Roman;sans-serif" w:hAnsi="Times New Roman;sans-serif"/>
          <w:b w:val="false"/>
          <w:color w:val="000000"/>
          <w:sz w:val="20"/>
        </w:rPr>
        <w:t>Gaming Adjusted EBITDA increased $0.7 million due to an $11.5 million increase attributable to the opening of the Terre Haute Casino Resort in April 2024, partially offset by a $6.6 million decrease from our wholly owned gaming properties and a $4.2 million decrease from our equity investments primarily due to regional gaming softness, increased competition, higher labor and benefit expense, one less day in the quarter due to the 2024 leap year, and the impact of weather at certain properties.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All Other Adjusted EBITDA decreased $1.0 million driven primarily by increased corporate compensation related expenses and other corporate administrative expenses driven by enterprise growth.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Reconciliation of Comprehensive Income to Adjusted EBITDA</w:t>
      </w:r>
    </w:p>
    <w:tbl>
      <w:tblPr>
        <w:tblW w:w="10205" w:type="dxa"/>
        <w:jc w:val="left"/>
        <w:tblInd w:w="0" w:type="dxa"/>
        <w:tblLayout w:type="fixed"/>
        <w:tblCellMar>
          <w:top w:w="28" w:type="dxa"/>
          <w:left w:w="28" w:type="dxa"/>
          <w:bottom w:w="28" w:type="dxa"/>
          <w:right w:w="28" w:type="dxa"/>
        </w:tblCellMar>
      </w:tblPr>
      <w:tblGrid>
        <w:gridCol w:w="2284"/>
        <w:gridCol w:w="2008"/>
        <w:gridCol w:w="2031"/>
        <w:gridCol w:w="260"/>
        <w:gridCol w:w="760"/>
        <w:gridCol w:w="134"/>
        <w:gridCol w:w="134"/>
        <w:gridCol w:w="134"/>
        <w:gridCol w:w="134"/>
        <w:gridCol w:w="260"/>
        <w:gridCol w:w="760"/>
        <w:gridCol w:w="134"/>
        <w:gridCol w:w="109"/>
        <w:gridCol w:w="109"/>
        <w:gridCol w:w="109"/>
        <w:gridCol w:w="211"/>
        <w:gridCol w:w="474"/>
        <w:gridCol w:w="160"/>
      </w:tblGrid>
      <w:tr>
        <w:trPr/>
        <w:tc>
          <w:tcPr>
            <w:tcW w:w="2284"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 attributable to Churchill Downs Incorporated</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net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depreciation and amortization expense related to equity investments</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recoveries, net</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 xml:space="preserve">Consolidated Balance Sheet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overall financial position:</w:t>
      </w:r>
    </w:p>
    <w:tbl>
      <w:tblPr>
        <w:tblW w:w="6074" w:type="dxa"/>
        <w:jc w:val="left"/>
        <w:tblInd w:w="0" w:type="dxa"/>
        <w:tblLayout w:type="fixed"/>
        <w:tblCellMar>
          <w:top w:w="28" w:type="dxa"/>
          <w:left w:w="28" w:type="dxa"/>
          <w:bottom w:w="28" w:type="dxa"/>
          <w:right w:w="28" w:type="dxa"/>
        </w:tblCellMar>
      </w:tblPr>
      <w:tblGrid>
        <w:gridCol w:w="499"/>
        <w:gridCol w:w="438"/>
        <w:gridCol w:w="443"/>
        <w:gridCol w:w="279"/>
        <w:gridCol w:w="1016"/>
        <w:gridCol w:w="144"/>
        <w:gridCol w:w="109"/>
        <w:gridCol w:w="109"/>
        <w:gridCol w:w="109"/>
        <w:gridCol w:w="335"/>
        <w:gridCol w:w="1217"/>
        <w:gridCol w:w="173"/>
        <w:gridCol w:w="109"/>
        <w:gridCol w:w="109"/>
        <w:gridCol w:w="109"/>
        <w:gridCol w:w="211"/>
        <w:gridCol w:w="51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items affecting the comparability of our Condensed Consolidated Balance Sheets include: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Total assets increased $71.2 million driven by increased capital expenditures primarily at Churchill Downs Racetrack and Owensboro Racing and Gaming, and an increase in other current assets driven by prepaid insurance and information technology related items.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Total liabilities increased $81.4 million driven primarily by increased current deferred revenue primarily related to advance ticket sales and sponsorships for the Kentucky Oaks and Derby, partially offset by decreased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33475"/>
                <wp:effectExtent l="0" t="0" r="0" b="0"/>
                <wp:wrapNone/>
                <wp:docPr id="30" name="Frame3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payable due to the payment of the annual dividend, and decreased long-term debt primarily due to payments on the Revolver and Term Loan A.</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Total equity decreased $11.9 million driven by share repurchases, partially offset by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liquidity and cash flows:</w:t>
      </w:r>
    </w:p>
    <w:tbl>
      <w:tblPr>
        <w:tblW w:w="5699" w:type="dxa"/>
        <w:jc w:val="left"/>
        <w:tblInd w:w="0" w:type="dxa"/>
        <w:tblLayout w:type="fixed"/>
        <w:tblCellMar>
          <w:top w:w="28" w:type="dxa"/>
          <w:left w:w="28" w:type="dxa"/>
          <w:bottom w:w="28" w:type="dxa"/>
          <w:right w:w="28" w:type="dxa"/>
        </w:tblCellMar>
      </w:tblPr>
      <w:tblGrid>
        <w:gridCol w:w="629"/>
        <w:gridCol w:w="553"/>
        <w:gridCol w:w="558"/>
        <w:gridCol w:w="267"/>
        <w:gridCol w:w="781"/>
        <w:gridCol w:w="138"/>
        <w:gridCol w:w="138"/>
        <w:gridCol w:w="138"/>
        <w:gridCol w:w="138"/>
        <w:gridCol w:w="267"/>
        <w:gridCol w:w="781"/>
        <w:gridCol w:w="138"/>
        <w:gridCol w:w="109"/>
        <w:gridCol w:w="109"/>
        <w:gridCol w:w="109"/>
        <w:gridCol w:w="211"/>
        <w:gridCol w:w="48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the Three Months Ended March 31, 2024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Cash flows provided by operating activities decreased $8.2 million driven primarily a decrease in cash used for working capital and an increase in operating income, partially offset by increased interest paid and decreased distributions from our unconsolidated affiliates in 2025.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Cash flows used in investing activities decreased $73.3 million primarily driven by decreased capital expenditures in 2025.</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Cash flows used in financing activities increased $46.8 million primarily driven by payments on the Revolver, increased payment of dividends, partially offset by decreased stock repurchases in 2025.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announced several project capital investments, including the following: Starting Gate Pavilion and Courtyard as well as enhancements to The Mansion and Finish Line Suites at Churchill Downs Racetrack; Marshall Yards Racing and Gaming in Southwestern Kentucky; expansion of the Richmond, Virginia HRM venue; and the Roseshire HRM entertainment venue in Henrico County, Virginia. We currently expect our project capital to be approximately $250.0 to $290.0 million in 2025, although this amount may vary significantly based on the timing of work completed, unanticipated delays, and timing of payments to third parties. The 2025 project capital range was reduced to reflect the temporary pause of The Skye, Conservatory, and Infield General Admission capital projects at Churchill Downs Racetrack.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2025, the Board of Directors of the Company approved a common stock repurchase program of up to $500.0 million (the "2025 Stock Repurchase Program"). The 2025 Stock Repurchase Program includes and is not in addition to any unspent amount remaining under the prior authorization.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$434.6 million of repurchase authority remaining under the 2025 Stock Repurchase Program at March 31, 2025, based on trade date.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33475"/>
                <wp:effectExtent l="0" t="0" r="0" b="0"/>
                <wp:wrapNone/>
                <wp:docPr id="31" name="Frame3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Credit Facilities and Indebtedness </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debt outstanding:</w:t>
      </w:r>
    </w:p>
    <w:tbl>
      <w:tblPr>
        <w:tblW w:w="8594" w:type="dxa"/>
        <w:jc w:val="left"/>
        <w:tblInd w:w="0" w:type="dxa"/>
        <w:tblLayout w:type="fixed"/>
        <w:tblCellMar>
          <w:top w:w="28" w:type="dxa"/>
          <w:left w:w="28" w:type="dxa"/>
          <w:bottom w:w="28" w:type="dxa"/>
          <w:right w:w="28" w:type="dxa"/>
        </w:tblCellMar>
      </w:tblPr>
      <w:tblGrid>
        <w:gridCol w:w="1383"/>
        <w:gridCol w:w="1215"/>
        <w:gridCol w:w="1227"/>
        <w:gridCol w:w="279"/>
        <w:gridCol w:w="1016"/>
        <w:gridCol w:w="144"/>
        <w:gridCol w:w="109"/>
        <w:gridCol w:w="109"/>
        <w:gridCol w:w="109"/>
        <w:gridCol w:w="335"/>
        <w:gridCol w:w="1217"/>
        <w:gridCol w:w="173"/>
        <w:gridCol w:w="109"/>
        <w:gridCol w:w="109"/>
        <w:gridCol w:w="109"/>
        <w:gridCol w:w="211"/>
        <w:gridCol w:w="58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 due 2028</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due 2029</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4,938.7 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12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net of premiums and discounts</w:t>
            </w:r>
          </w:p>
        </w:tc>
        <w:tc>
          <w:tcPr>
            <w:tcW w:w="12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4,844.1 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Company’s senior secured credit facility (as amended from time to time, the “Credit Agreement") consisted of a $1.2 billion revolving credit facility (the "Revolver"), $288.0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and (ii) amend certain other provisions to the Credit Agreement. </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as set forth therein. </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Term Loan B-1 requires quarterly payments of 0.25% of the original $300.0 million balance. The Term Loan B-1 may be subject to additional mandatory prepayment from excess cash flow on an annual basis per the provisions of the Credit Agreement.</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Revolver and Term Loan A bear interest at SOFR plus 10 basis points, plus a variable applicable margin which is determined by the Company's net leverage ratio. As of March 31, 2025, that applicable margin was 150 basis points which was based on the pricing grid in the Credit Agreement. The Company had $830.9 million available borrowing capacity, after consideration of $7.4 million in outstanding letters of credit, under the Revolver as of March 31, 2025.</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to pay a commitment fee on the unused portion of the Revolver as determined by a pricing grid based on the consolidated total net secured leverage ratio of the Company. For the period ended March 31, 2025, the Company's commitment fee rate was 0.25%. </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contractual payments, including interest, under the Credit Agreement for the next twelve months are estimated to be $170.4 million assuming no change in the weighted average borrowing rate of 5.95%, which was in place as of March 31, 2025. During the three months ended March 31, 2025, we had repayments of principal and interest on the Credit Agreement of $279.2 million.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2027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33475"/>
                <wp:effectExtent l="0" t="0" r="0" b="0"/>
                <wp:wrapNone/>
                <wp:docPr id="32" name="Frame3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2028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2030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2031 Senior Notes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any time prior to April 25, 2025, at redemption prices set forth in the 2031 Offering Memorandum.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March 31, 2025, minimum rent payable under operating leases was $34.1 million, with $6.7 million due in the next twelve months. As of March 31, 2025, minimum rent payable accounted for as financing obligations was $53.8 million, with $5.1 million due in the next twelve months.</w:t>
      </w:r>
    </w:p>
    <w:p>
      <w:pPr>
        <w:pStyle w:val="TextBody"/>
        <w:bidi w:val="0"/>
        <w:spacing w:lineRule="auto" w:line="288" w:before="180" w:after="60"/>
        <w:jc w:val="both"/>
        <w:rPr>
          <w:rFonts w:ascii="Times New Roman;sans-serif" w:hAnsi="Times New Roman;sans-serif"/>
          <w:b/>
          <w:i/>
          <w:color w:val="000000"/>
          <w:sz w:val="20"/>
        </w:rPr>
      </w:pPr>
      <w:r>
        <w:rPr>
          <w:rFonts w:ascii="Times New Roman;sans-serif" w:hAnsi="Times New Roman;sans-serif"/>
          <w:b/>
          <w:i/>
          <w:color w:val="000000"/>
          <w:sz w:val="20"/>
        </w:rPr>
        <w:t>Other Contractual Obligations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other contractual obligations with commitments of $12.4 million, $1.6 million of which is due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interest rate and credit risk.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General economic trends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Interest rate and credit risk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exposure to market risk relates to changes in interest rates. On March 31, 2025, we had $1.8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$13.4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33475"/>
                <wp:effectExtent l="0" t="0" r="0" b="0"/>
                <wp:wrapNone/>
                <wp:docPr id="33" name="Frame3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ind w:left="0" w:right="0" w:hanging="1035"/>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March 31, 2025. Based upon the foregoing, our Chief Executive Officer and Chief Financial Officer concluded that our disclosure controls and procedures were effective.</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33475"/>
                <wp:effectExtent l="0" t="0" r="0" b="0"/>
                <wp:wrapNone/>
                <wp:docPr id="34" name="Frame3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24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ordinary routine litigation matters which are incidental to our business. Refer to Note 13, Contingencies, in the notes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risk factors previously disclosed in Part I, Item 1A of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Issuer Purchases of Common Stock</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shares of common stock that we repurchased during the quarter ended March 31, 2025:</w:t>
      </w:r>
    </w:p>
    <w:tbl>
      <w:tblPr>
        <w:tblW w:w="10205" w:type="dxa"/>
        <w:jc w:val="left"/>
        <w:tblInd w:w="0" w:type="dxa"/>
        <w:tblLayout w:type="fixed"/>
        <w:tblCellMar>
          <w:top w:w="28" w:type="dxa"/>
          <w:left w:w="28" w:type="dxa"/>
          <w:bottom w:w="28" w:type="dxa"/>
          <w:right w:w="28" w:type="dxa"/>
        </w:tblCellMar>
      </w:tblPr>
      <w:tblGrid>
        <w:gridCol w:w="380"/>
        <w:gridCol w:w="269"/>
        <w:gridCol w:w="272"/>
        <w:gridCol w:w="109"/>
        <w:gridCol w:w="109"/>
        <w:gridCol w:w="109"/>
        <w:gridCol w:w="608"/>
        <w:gridCol w:w="471"/>
        <w:gridCol w:w="473"/>
        <w:gridCol w:w="109"/>
        <w:gridCol w:w="109"/>
        <w:gridCol w:w="109"/>
        <w:gridCol w:w="267"/>
        <w:gridCol w:w="914"/>
        <w:gridCol w:w="138"/>
        <w:gridCol w:w="109"/>
        <w:gridCol w:w="109"/>
        <w:gridCol w:w="109"/>
        <w:gridCol w:w="830"/>
        <w:gridCol w:w="726"/>
        <w:gridCol w:w="729"/>
        <w:gridCol w:w="109"/>
        <w:gridCol w:w="109"/>
        <w:gridCol w:w="109"/>
        <w:gridCol w:w="598"/>
        <w:gridCol w:w="1750"/>
        <w:gridCol w:w="311"/>
        <w:gridCol w:w="161"/>
      </w:tblGrid>
      <w:tr>
        <w:trPr/>
        <w:tc>
          <w:tcPr>
            <w:tcW w:w="3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as Part of Publicly Announced Plans or Programs </w:t>
            </w:r>
            <w:r>
              <w:rPr>
                <w:rFonts w:ascii="Times New Roman;sans-serif" w:hAnsi="Times New Roman;sans-serif"/>
                <w:b/>
                <w:color w:val="000000"/>
                <w:sz w:val="13"/>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Approximate Dollar Value of Shares That May Yet Be Purchased Under the Plans or Programs (in millions) </w:t>
            </w:r>
            <w:r>
              <w:rPr>
                <w:rFonts w:ascii="Times New Roman;sans-serif" w:hAnsi="Times New Roman;sans-serif"/>
                <w:b/>
                <w:color w:val="000000"/>
                <w:sz w:val="13"/>
              </w:rPr>
              <w:t xml:space="preserve">(1) </w:t>
            </w:r>
          </w:p>
        </w:tc>
        <w:tc>
          <w:tcPr>
            <w:tcW w:w="161"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47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3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31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147,385 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68,888 </w:t>
            </w:r>
          </w:p>
        </w:tc>
        <w:tc>
          <w:tcPr>
            <w:tcW w:w="7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729,435 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729,362 </w:t>
            </w:r>
          </w:p>
        </w:tc>
        <w:tc>
          <w:tcPr>
            <w:tcW w:w="7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877,298 </w:t>
            </w:r>
          </w:p>
        </w:tc>
        <w:tc>
          <w:tcPr>
            <w:tcW w:w="4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112.99 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798,250 </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(1)On March 12, 2025, the Board of Directors of the Company approved a common stock repurchase program of up to $500.0 million (the "2025 Stock Repurchase Program"). The 2025 Stock Repurchase Program includes and is not in addition to the $125.6 million remaining under the prior 2021 Stock Repurchase Program authorization. For the three months ended March 31, 2025, we purchased 212,012 shares of our common stock under the 2021 Stock Repurchase Program at the aggregate purchase price of $24.0 million based on trade date, and we purchased 586,238 shares of our common stock under the 2025 Stock Repurchase Program at the aggregate purchase price of $65.4 million based on trade date.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(2)Includes shares withheld to pay taxes on the vesting of restricted stock and restricted stock units or to pay taxes on the exercise of stock options granted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hanging="103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ind w:left="0" w:right="0" w:hanging="103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2025,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33475"/>
                <wp:effectExtent l="0" t="0" r="0" b="0"/>
                <wp:wrapNone/>
                <wp:docPr id="35" name="Frame3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198"/>
        <w:gridCol w:w="2122"/>
        <w:gridCol w:w="2142"/>
        <w:gridCol w:w="109"/>
        <w:gridCol w:w="109"/>
        <w:gridCol w:w="109"/>
        <w:gridCol w:w="661"/>
        <w:gridCol w:w="661"/>
        <w:gridCol w:w="94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00"/>
                  <w:sz w:val="20"/>
                </w:rPr>
                <w:t>10.01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to Credit Agreement, dated February 14, 2025, by and among Churchill Downs Incorporated, the guarantors party thereto, the lenders party thereto, and JPMorgan Chase Bank, N.A., as administrative agent and fronting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10.01 to Current Report on Form 8-K filed February 14,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dithirdamendmentto2016p.htm">
              <w:r>
                <w:rPr>
                  <w:rStyle w:val="InternetLink"/>
                  <w:rFonts w:ascii="Times New Roman;sans-serif" w:hAnsi="Times New Roman;sans-serif"/>
                  <w:b w:val="false"/>
                  <w:color w:val="000000"/>
                  <w:sz w:val="20"/>
                </w:rPr>
                <w:t>10.02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Churchill Downs Incorporated 2016 Omnibus Stock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a2025033110q.htm">
              <w:r>
                <w:rPr>
                  <w:rStyle w:val="InternetLink"/>
                  <w:rFonts w:ascii="Times New Roman;sans-serif" w:hAnsi="Times New Roman;sans-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b2025033110q.htm">
              <w:r>
                <w:rPr>
                  <w:rStyle w:val="InternetLink"/>
                  <w:rFonts w:ascii="Times New Roman;sans-serif" w:hAnsi="Times New Roman;sans-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025033110q.htm">
              <w:r>
                <w:rPr>
                  <w:rStyle w:val="InternetLink"/>
                  <w:rFonts w:ascii="Times New Roman;sans-serif" w:hAnsi="Times New Roman;sans-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Principal Financial Officer Pursuant to 18 U.S.C. Section 1350, As Adopted Pursuant to Section 906 of the Sarbanes-Oxley Act of 2002 (furnished pursuant to Rule 13a – 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33475"/>
                <wp:effectExtent l="0" t="0" r="0" b="0"/>
                <wp:wrapNone/>
                <wp:docPr id="36" name="Frame3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left"/>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left"/>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745" w:type="dxa"/>
        <w:jc w:val="left"/>
        <w:tblInd w:w="0" w:type="dxa"/>
        <w:tblLayout w:type="fixed"/>
        <w:tblCellMar>
          <w:top w:w="28" w:type="dxa"/>
          <w:left w:w="28" w:type="dxa"/>
          <w:bottom w:w="28" w:type="dxa"/>
          <w:right w:w="28" w:type="dxa"/>
        </w:tblCellMar>
      </w:tblPr>
      <w:tblGrid>
        <w:gridCol w:w="473"/>
        <w:gridCol w:w="415"/>
        <w:gridCol w:w="417"/>
        <w:gridCol w:w="1299"/>
        <w:gridCol w:w="1299"/>
        <w:gridCol w:w="1842"/>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jc w:val="center"/>
        <w:rPr/>
      </w:pPr>
      <w:bookmarkStart w:id="0" w:name="cdithirdamendmentto2016p.htm"/>
      <w:bookmarkStart w:id="1" w:name="kscdithirdamendmentto2016p"/>
      <w:bookmarkEnd w:id="0"/>
      <w:bookmarkEnd w:id="1"/>
      <w:r>
        <w:rPr/>
        <w:drawing>
          <wp:inline distT="0" distB="0" distL="0" distR="0">
            <wp:extent cx="10048875" cy="130016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33475"/>
                <wp:effectExtent l="0" t="0" r="0" b="0"/>
                <wp:wrapNone/>
                <wp:docPr id="38" name="Frame3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r>
                                    <w:br w:type="page"/>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 FOR THE QUARTERLY PERIOD ENDED MARCH 31, 2025</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C. Carstanjen, certify that: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6"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br/>
              <w:t>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Marcia A. Dall, certify that: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61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Churchill Downs Incorporated (the “Company”) for the quarterly period ended March 31, 2025,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0212/000119312525027242/d916166dex100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15686</Words>
  <Characters>87001</Characters>
  <CharactersWithSpaces>101352</CharactersWithSpaces>
  <Paragraphs>2357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cdithirdamendmentto2016p</dc:title>
</cp:coreProperties>
</file>