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852170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520" w:hanging="44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June 30, 2022</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6" w:lineRule="exact"/>
        <w:rPr>
          <w:sz w:val="24"/>
          <w:szCs w:val="24"/>
          <w:color w:val="auto"/>
        </w:rPr>
      </w:pPr>
    </w:p>
    <w:p>
      <w:pPr>
        <w:ind w:left="520" w:hanging="440"/>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8" w:lineRule="exact"/>
        <w:rPr>
          <w:sz w:val="24"/>
          <w:szCs w:val="24"/>
          <w:color w:val="auto"/>
        </w:rPr>
      </w:pPr>
    </w:p>
    <w:p>
      <w:pPr>
        <w:ind w:left="3900"/>
        <w:spacing w:after="0"/>
        <w:tabs>
          <w:tab w:leader="none" w:pos="66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-7620</wp:posOffset>
            </wp:positionV>
            <wp:extent cx="802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001-33998</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Churchill Downs Incorporated</w:t>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2100"/>
        <w:spacing w:after="0"/>
        <w:tabs>
          <w:tab w:leader="none" w:pos="8620" w:val="left"/>
        </w:tabs>
        <w:rPr>
          <w:sz w:val="20"/>
          <w:szCs w:val="20"/>
          <w:color w:val="auto"/>
        </w:rPr>
      </w:pPr>
      <w:r>
        <w:rPr>
          <w:rFonts w:ascii="Times New Roman" w:cs="Times New Roman" w:eastAsia="Times New Roman" w:hAnsi="Times New Roman"/>
          <w:sz w:val="18"/>
          <w:szCs w:val="18"/>
          <w:b w:val="1"/>
          <w:bCs w:val="1"/>
          <w:color w:val="auto"/>
        </w:rPr>
        <w:t>Kentucky</w:t>
      </w:r>
      <w:r>
        <w:rPr>
          <w:sz w:val="20"/>
          <w:szCs w:val="20"/>
          <w:color w:val="auto"/>
        </w:rPr>
        <w:tab/>
      </w:r>
      <w:r>
        <w:rPr>
          <w:rFonts w:ascii="Times New Roman" w:cs="Times New Roman" w:eastAsia="Times New Roman" w:hAnsi="Times New Roman"/>
          <w:sz w:val="18"/>
          <w:szCs w:val="18"/>
          <w:b w:val="1"/>
          <w:bCs w:val="1"/>
          <w:color w:val="auto"/>
        </w:rPr>
        <w:t>61-0156015</w:t>
      </w:r>
    </w:p>
    <w:p>
      <w:pPr>
        <w:spacing w:after="0" w:line="54" w:lineRule="exact"/>
        <w:rPr>
          <w:sz w:val="24"/>
          <w:szCs w:val="24"/>
          <w:color w:val="auto"/>
        </w:rPr>
      </w:pPr>
    </w:p>
    <w:p>
      <w:pPr>
        <w:ind w:left="320"/>
        <w:spacing w:after="0"/>
        <w:tabs>
          <w:tab w:leader="none" w:pos="776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0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600 North Hurstbourne Parkway, Suite 400</w:t>
      </w:r>
    </w:p>
    <w:p>
      <w:pPr>
        <w:sectPr>
          <w:pgSz w:w="11900" w:h="16838" w:orient="portrait"/>
          <w:cols w:equalWidth="0" w:num="1">
            <w:col w:w="11260"/>
          </w:cols>
          <w:pgMar w:left="320" w:top="1440" w:right="319" w:bottom="1440" w:gutter="0" w:footer="0" w:header="0"/>
        </w:sectPr>
      </w:pPr>
    </w:p>
    <w:p>
      <w:pPr>
        <w:spacing w:after="0" w:line="77" w:lineRule="exact"/>
        <w:rPr>
          <w:sz w:val="24"/>
          <w:szCs w:val="24"/>
          <w:color w:val="auto"/>
        </w:rPr>
      </w:pPr>
    </w:p>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Louisville, Kentucky</w:t>
      </w:r>
    </w:p>
    <w:p>
      <w:pPr>
        <w:spacing w:after="0" w:line="31"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9" w:lineRule="exact"/>
        <w:rPr>
          <w:sz w:val="24"/>
          <w:szCs w:val="24"/>
          <w:color w:val="auto"/>
        </w:rPr>
      </w:pPr>
    </w:p>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(502) 636-4400</w:t>
      </w:r>
    </w:p>
    <w:p>
      <w:pPr>
        <w:spacing w:after="0" w:line="31" w:lineRule="exact"/>
        <w:rPr>
          <w:sz w:val="24"/>
          <w:szCs w:val="24"/>
          <w:color w:val="auto"/>
        </w:rPr>
      </w:pPr>
    </w:p>
    <w:p>
      <w:pPr>
        <w:jc w:val="center"/>
        <w:ind w:left="32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40222</w:t>
      </w:r>
    </w:p>
    <w:p>
      <w:pPr>
        <w:spacing w:after="0" w:line="54"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(Zip Code)</w:t>
      </w:r>
    </w:p>
    <w:p>
      <w:pPr>
        <w:spacing w:after="0" w:line="979" w:lineRule="exact"/>
        <w:rPr>
          <w:sz w:val="24"/>
          <w:szCs w:val="24"/>
          <w:color w:val="auto"/>
        </w:rPr>
      </w:pPr>
    </w:p>
    <w:p>
      <w:pPr>
        <w:sectPr>
          <w:pgSz w:w="11900" w:h="16838" w:orient="portrait"/>
          <w:cols w:equalWidth="0" w:num="2">
            <w:col w:w="7960" w:space="720"/>
            <w:col w:w="2580"/>
          </w:cols>
          <w:pgMar w:left="320" w:top="1440" w:right="319" w:bottom="1440" w:gutter="0" w:footer="0" w:header="0"/>
          <w:type w:val="continuous"/>
        </w:sect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38"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8"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0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registrant’s common stock at July 13, 2022 was 37,697,846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063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60" w:type="dxa"/>
            <w:vAlign w:val="bottom"/>
          </w:tcPr>
          <w:p>
            <w:pPr>
              <w:spacing w:after="0"/>
              <w:rPr>
                <w:sz w:val="18"/>
                <w:szCs w:val="18"/>
                <w:color w:val="auto"/>
              </w:rPr>
            </w:pPr>
          </w:p>
        </w:tc>
        <w:tc>
          <w:tcPr>
            <w:tcW w:w="24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Financial Statements (Unaudited)</w:t>
            </w:r>
          </w:p>
        </w:tc>
        <w:tc>
          <w:tcPr>
            <w:tcW w:w="480" w:type="dxa"/>
            <w:vAlign w:val="bottom"/>
            <w:tcBorders>
              <w:top w:val="single" w:sz="8" w:color="auto"/>
            </w:tcBorders>
          </w:tcPr>
          <w:p>
            <w:pPr>
              <w:spacing w:after="0"/>
              <w:rPr>
                <w:sz w:val="18"/>
                <w:szCs w:val="18"/>
                <w:color w:val="auto"/>
              </w:rPr>
            </w:pPr>
          </w:p>
        </w:tc>
        <w:tc>
          <w:tcPr>
            <w:tcW w:w="5980" w:type="dxa"/>
            <w:vAlign w:val="bottom"/>
            <w:gridSpan w:val="7"/>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 for the three and six months ended June 30, 2022 and 2021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Condensed Consolidated Balance Sheets at June 30, 2022 and December 31, 2021</w:t>
            </w:r>
          </w:p>
        </w:tc>
        <w:tc>
          <w:tcPr>
            <w:tcW w:w="2960" w:type="dxa"/>
            <w:vAlign w:val="bottom"/>
            <w:gridSpan w:val="4"/>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Shareholders' Equity for the three and six months ended June 30, 2022 and 2021</w:t>
            </w:r>
          </w:p>
        </w:tc>
        <w:tc>
          <w:tcPr>
            <w:tcW w:w="2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Cash Flows for the six months ended June 30, 2022 and 2021</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w:t>
            </w:r>
          </w:p>
        </w:tc>
        <w:tc>
          <w:tcPr>
            <w:tcW w:w="3300" w:type="dxa"/>
            <w:vAlign w:val="bottom"/>
            <w:gridSpan w:val="4"/>
          </w:tcPr>
          <w:p>
            <w:pPr>
              <w:spacing w:after="0"/>
              <w:rPr>
                <w:sz w:val="18"/>
                <w:szCs w:val="18"/>
                <w:color w:val="auto"/>
              </w:rPr>
            </w:pPr>
          </w:p>
        </w:tc>
        <w:tc>
          <w:tcPr>
            <w:tcW w:w="1580" w:type="dxa"/>
            <w:vAlign w:val="bottom"/>
            <w:gridSpan w:val="2"/>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60" w:type="dxa"/>
            <w:vAlign w:val="bottom"/>
          </w:tcPr>
          <w:p>
            <w:pPr>
              <w:spacing w:after="0"/>
              <w:rPr>
                <w:sz w:val="18"/>
                <w:szCs w:val="18"/>
                <w:color w:val="auto"/>
              </w:rPr>
            </w:pPr>
          </w:p>
        </w:tc>
        <w:tc>
          <w:tcPr>
            <w:tcW w:w="64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4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27</w:t>
            </w: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60" w:type="dxa"/>
            <w:vAlign w:val="bottom"/>
          </w:tcPr>
          <w:p>
            <w:pPr>
              <w:spacing w:after="0"/>
              <w:rPr>
                <w:sz w:val="18"/>
                <w:szCs w:val="18"/>
                <w:color w:val="auto"/>
              </w:rPr>
            </w:pPr>
          </w:p>
        </w:tc>
        <w:tc>
          <w:tcPr>
            <w:tcW w:w="4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4520" w:type="dxa"/>
            <w:vAlign w:val="bottom"/>
            <w:gridSpan w:val="5"/>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42</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6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180" w:type="dxa"/>
            <w:vAlign w:val="bottom"/>
          </w:tcPr>
          <w:p>
            <w:pPr>
              <w:spacing w:after="0"/>
              <w:rPr>
                <w:sz w:val="17"/>
                <w:szCs w:val="17"/>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60" w:type="dxa"/>
            <w:vAlign w:val="bottom"/>
            <w:gridSpan w:val="2"/>
          </w:tcPr>
          <w:p>
            <w:pPr>
              <w:spacing w:after="0"/>
              <w:rPr>
                <w:sz w:val="18"/>
                <w:szCs w:val="18"/>
                <w:color w:val="auto"/>
              </w:rPr>
            </w:pPr>
          </w:p>
        </w:tc>
        <w:tc>
          <w:tcPr>
            <w:tcW w:w="13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1260" w:type="dxa"/>
            <w:vAlign w:val="bottom"/>
            <w:tcBorders>
              <w:top w:val="single" w:sz="8" w:color="auto"/>
            </w:tcBorders>
            <w:gridSpan w:val="3"/>
          </w:tcPr>
          <w:p>
            <w:pPr>
              <w:spacing w:after="0"/>
              <w:rPr>
                <w:sz w:val="18"/>
                <w:szCs w:val="18"/>
                <w:color w:val="auto"/>
              </w:rPr>
            </w:pPr>
          </w:p>
        </w:tc>
        <w:tc>
          <w:tcPr>
            <w:tcW w:w="744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44</w:t>
            </w:r>
          </w:p>
        </w:tc>
      </w:tr>
      <w:tr>
        <w:trPr>
          <w:trHeight w:val="210"/>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45</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46</w:t>
            </w:r>
          </w:p>
        </w:tc>
      </w:tr>
      <w:tr>
        <w:trPr>
          <w:trHeight w:val="210"/>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60" w:type="dxa"/>
            <w:vAlign w:val="bottom"/>
            <w:gridSpan w:val="2"/>
          </w:tcPr>
          <w:p>
            <w:pPr>
              <w:spacing w:after="0"/>
              <w:rPr>
                <w:sz w:val="18"/>
                <w:szCs w:val="18"/>
                <w:color w:val="auto"/>
              </w:rPr>
            </w:pPr>
          </w:p>
        </w:tc>
        <w:tc>
          <w:tcPr>
            <w:tcW w:w="43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7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46</w:t>
            </w:r>
          </w:p>
        </w:tc>
      </w:tr>
      <w:tr>
        <w:trPr>
          <w:trHeight w:val="209"/>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60" w:type="dxa"/>
            <w:vAlign w:val="bottom"/>
            <w:gridSpan w:val="2"/>
          </w:tcPr>
          <w:p>
            <w:pPr>
              <w:spacing w:after="0"/>
              <w:rPr>
                <w:sz w:val="18"/>
                <w:szCs w:val="18"/>
                <w:color w:val="auto"/>
              </w:rPr>
            </w:pPr>
          </w:p>
        </w:tc>
        <w:tc>
          <w:tcPr>
            <w:tcW w:w="23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7720" w:type="dxa"/>
            <w:vAlign w:val="bottom"/>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46</w:t>
            </w:r>
          </w:p>
        </w:tc>
      </w:tr>
      <w:tr>
        <w:trPr>
          <w:trHeight w:val="209"/>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460" w:type="dxa"/>
            <w:vAlign w:val="bottom"/>
            <w:gridSpan w:val="2"/>
          </w:tcPr>
          <w:p>
            <w:pPr>
              <w:spacing w:after="0"/>
              <w:rPr>
                <w:sz w:val="18"/>
                <w:szCs w:val="18"/>
                <w:color w:val="auto"/>
              </w:rPr>
            </w:pPr>
          </w:p>
        </w:tc>
        <w:tc>
          <w:tcPr>
            <w:tcW w:w="13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auto"/>
            </w:tcBorders>
            <w:gridSpan w:val="2"/>
          </w:tcPr>
          <w:p>
            <w:pPr>
              <w:spacing w:after="0"/>
              <w:rPr>
                <w:sz w:val="18"/>
                <w:szCs w:val="18"/>
                <w:color w:val="auto"/>
              </w:rPr>
            </w:pPr>
          </w:p>
        </w:tc>
        <w:tc>
          <w:tcPr>
            <w:tcW w:w="8280" w:type="dxa"/>
            <w:vAlign w:val="bottom"/>
            <w:gridSpan w:val="4"/>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46</w:t>
            </w: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60" w:type="dxa"/>
            <w:vAlign w:val="bottom"/>
            <w:gridSpan w:val="2"/>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9440" w:type="dxa"/>
            <w:vAlign w:val="bottom"/>
            <w:gridSpan w:val="9"/>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47</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Signatures</w:t>
            </w:r>
          </w:p>
        </w:tc>
        <w:tc>
          <w:tcPr>
            <w:tcW w:w="9280" w:type="dxa"/>
            <w:vAlign w:val="bottom"/>
            <w:gridSpan w:val="8"/>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283210</wp:posOffset>
            </wp:positionV>
            <wp:extent cx="7098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160" w:type="dxa"/>
            <w:vAlign w:val="bottom"/>
            <w:gridSpan w:val="7"/>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CHURCHILL DOWNS INCORPORATED</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040" w:type="dxa"/>
            <w:vAlign w:val="bottom"/>
            <w:gridSpan w:val="11"/>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20"/>
                <w:szCs w:val="20"/>
                <w:color w:val="auto"/>
              </w:rPr>
            </w:pPr>
          </w:p>
        </w:tc>
        <w:tc>
          <w:tcPr>
            <w:tcW w:w="278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7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Live and Historical Racing</w:t>
            </w: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TwinSpires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Gaming</w:t>
            </w: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 Other</w:t>
            </w: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Live and Historical Racing</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TwinSpires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Gaming</w:t>
            </w: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 Other</w:t>
            </w: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Asset impairments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Transaction expense, net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operating expense</w:t>
            </w:r>
          </w:p>
        </w:tc>
        <w:tc>
          <w:tcPr>
            <w:tcW w:w="7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0" w:type="dxa"/>
            <w:vAlign w:val="bottom"/>
          </w:tcPr>
          <w:p>
            <w:pPr>
              <w:spacing w:after="0"/>
              <w:rPr>
                <w:sz w:val="1"/>
                <w:szCs w:val="1"/>
                <w:color w:val="auto"/>
              </w:rPr>
            </w:pPr>
          </w:p>
        </w:tc>
      </w:tr>
      <w:tr>
        <w:trPr>
          <w:trHeight w:val="21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in income of unconsolidated affiliates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Calder land sale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Miscellaneous, net</w:t>
            </w:r>
          </w:p>
        </w:tc>
        <w:tc>
          <w:tcPr>
            <w:tcW w:w="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other income</w:t>
            </w:r>
          </w:p>
        </w:tc>
        <w:tc>
          <w:tcPr>
            <w:tcW w:w="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from operations before provision for income taxes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tax provision</w:t>
            </w:r>
          </w:p>
        </w:tc>
        <w:tc>
          <w:tcPr>
            <w:tcW w:w="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7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6"/>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 data:</w:t>
            </w:r>
          </w:p>
        </w:tc>
        <w:tc>
          <w:tcPr>
            <w:tcW w:w="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 net income</w:t>
            </w: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40"/>
        </w:trPr>
        <w:tc>
          <w:tcPr>
            <w:tcW w:w="394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Diluted net income</w:t>
            </w:r>
          </w:p>
        </w:tc>
        <w:tc>
          <w:tcPr>
            <w:tcW w:w="10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Pr>
          <w:p>
            <w:pPr>
              <w:spacing w:after="0" w:line="20" w:lineRule="exact"/>
              <w:rPr>
                <w:sz w:val="1"/>
                <w:szCs w:val="1"/>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line="20" w:lineRule="exact"/>
              <w:rPr>
                <w:sz w:val="1"/>
                <w:szCs w:val="1"/>
                <w:color w:val="auto"/>
              </w:rPr>
            </w:pPr>
          </w:p>
        </w:tc>
      </w:tr>
      <w:tr>
        <w:trPr>
          <w:trHeight w:val="185"/>
        </w:trPr>
        <w:tc>
          <w:tcPr>
            <w:tcW w:w="39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6"/>
        </w:trPr>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137160</wp:posOffset>
            </wp:positionV>
            <wp:extent cx="7098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5"/>
        </w:trPr>
        <w:tc>
          <w:tcPr>
            <w:tcW w:w="7180" w:type="dxa"/>
            <w:vAlign w:val="bottom"/>
          </w:tcPr>
          <w:p>
            <w:pPr>
              <w:ind w:left="324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and advances to unconsolidated affiliates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8"/>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maturities and loan origination fees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debt issuance costs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23"/>
        </w:trPr>
        <w:tc>
          <w:tcPr>
            <w:tcW w:w="7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5" w:right="359" w:bottom="1440" w:gutter="0" w:footer="0" w:header="0"/>
        </w:sectPr>
      </w:pPr>
    </w:p>
    <w:bookmarkStart w:id="4" w:name="page5"/>
    <w:bookmarkEnd w:id="4"/>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CHURCHILL DOWNS INCORPORATED CONDENSED CONSOLIDATED STATEMENTS OF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00"/>
              <w:spacing w:after="0" w:line="14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1520" w:type="dxa"/>
            <w:vAlign w:val="bottom"/>
            <w:gridSpan w:val="3"/>
          </w:tcPr>
          <w:p>
            <w:pPr>
              <w:jc w:val="right"/>
              <w:ind w:right="8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00" w:type="dxa"/>
            <w:vAlign w:val="bottom"/>
          </w:tcPr>
          <w:p>
            <w:pPr>
              <w:spacing w:after="0"/>
              <w:rPr>
                <w:sz w:val="12"/>
                <w:szCs w:val="12"/>
                <w:color w:val="auto"/>
              </w:rPr>
            </w:pPr>
          </w:p>
        </w:tc>
        <w:tc>
          <w:tcPr>
            <w:tcW w:w="144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6"/>
                <w:szCs w:val="16"/>
                <w:b w:val="1"/>
                <w:bCs w:val="1"/>
                <w:color w:val="auto"/>
              </w:rPr>
              <w:t>Total Shareholders'</w:t>
            </w:r>
          </w:p>
        </w:tc>
        <w:tc>
          <w:tcPr>
            <w:tcW w:w="0" w:type="dxa"/>
            <w:vAlign w:val="bottom"/>
          </w:tcPr>
          <w:p>
            <w:pPr>
              <w:spacing w:after="0"/>
              <w:rPr>
                <w:sz w:val="1"/>
                <w:szCs w:val="1"/>
                <w:color w:val="auto"/>
              </w:rPr>
            </w:pPr>
          </w:p>
        </w:tc>
      </w:tr>
      <w:tr>
        <w:trPr>
          <w:trHeight w:val="212"/>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9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stock awards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stock awards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4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80"/>
              <w:spacing w:after="0" w:line="14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40" w:type="dxa"/>
            <w:vAlign w:val="bottom"/>
            <w:gridSpan w:val="4"/>
          </w:tcPr>
          <w:p>
            <w:pPr>
              <w:jc w:val="right"/>
              <w:ind w:right="18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540" w:type="dxa"/>
            <w:vAlign w:val="bottom"/>
            <w:gridSpan w:val="3"/>
          </w:tcPr>
          <w:p>
            <w:pPr>
              <w:jc w:val="right"/>
              <w:ind w:right="11"/>
              <w:spacing w:after="0" w:line="148" w:lineRule="exact"/>
              <w:rPr>
                <w:sz w:val="20"/>
                <w:szCs w:val="20"/>
                <w:color w:val="auto"/>
              </w:rPr>
            </w:pPr>
            <w:r>
              <w:rPr>
                <w:rFonts w:ascii="Times New Roman" w:cs="Times New Roman" w:eastAsia="Times New Roman" w:hAnsi="Times New Roman"/>
                <w:sz w:val="16"/>
                <w:szCs w:val="16"/>
                <w:b w:val="1"/>
                <w:bCs w:val="1"/>
                <w:color w:val="auto"/>
              </w:rPr>
              <w:t>Total Shareholders'</w:t>
            </w:r>
          </w:p>
        </w:tc>
        <w:tc>
          <w:tcPr>
            <w:tcW w:w="0" w:type="dxa"/>
            <w:vAlign w:val="bottom"/>
          </w:tcPr>
          <w:p>
            <w:pPr>
              <w:spacing w:after="0"/>
              <w:rPr>
                <w:sz w:val="1"/>
                <w:szCs w:val="1"/>
                <w:color w:val="auto"/>
              </w:rPr>
            </w:pPr>
          </w:p>
        </w:tc>
      </w:tr>
      <w:tr>
        <w:trPr>
          <w:trHeight w:val="214"/>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9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80" w:type="dxa"/>
            <w:vAlign w:val="bottom"/>
            <w:tcBorders>
              <w:top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351790</wp:posOffset>
            </wp:positionV>
            <wp:extent cx="7098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71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29"/>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Calder land sale</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3"/>
        </w:trPr>
        <w:tc>
          <w:tcPr>
            <w:tcW w:w="7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05"/>
        </w:trPr>
        <w:tc>
          <w:tcPr>
            <w:tcW w:w="71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Calder land sale</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7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5"/>
        </w:trPr>
        <w:tc>
          <w:tcPr>
            <w:tcW w:w="71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9"/>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borrowings under long-term debt obligations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borrowings under long-term debt obligations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dividends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29"/>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stock awards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bank overdraft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05"/>
        </w:trPr>
        <w:tc>
          <w:tcPr>
            <w:tcW w:w="71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discontinued operations:</w:t>
            </w: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 of discontinued operations</w:t>
            </w:r>
          </w:p>
        </w:tc>
        <w:tc>
          <w:tcPr>
            <w:tcW w:w="4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1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4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0"/>
        </w:trPr>
        <w:tc>
          <w:tcPr>
            <w:tcW w:w="7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7098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CHURCHILL DOWNS INCORPORATED CONDENSED CONSOLIDATED STATEMENTS OF CASH FLOWS (Continued) (Unaudited)</w:t>
      </w:r>
    </w:p>
    <w:p>
      <w:pPr>
        <w:spacing w:after="0" w:line="20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71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5"/>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of non-cash operating, investing and financing activities:</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additions included in accounts payable and accrued expenses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 included in accrued expense and other current liabilities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 in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 included in accrued expense and other current liabilities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342900</wp:posOffset>
            </wp:positionV>
            <wp:extent cx="7098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Churchill Downs Incorporated (the "Company")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2021 Condensed Consolidated Balance Sheet data was derived from audited financial statements but does not include all disclosures required by GAAP.</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is unaudited. All per share amounts assume dilution unless otherwise noted. This report should be read in conjunction with our Annual Report on Form 10-K for the year ended December 31, 2021.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this information have been made, and all such adjustments are of a normal, recurring nature.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our business through three reportable segments: Live and Historical Racing, TwinSpires, and Gaming. We aggregate our other businesses as well as certain corporate operations, and other immaterial joint ventures, in All Other. We report net revenue and operating expense associated with these reportable segments in the accompanying Condensed Consolidated Statements of Comprehensive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we updated our operating segments to reflect the internal management reporting used by our chief operating decision maker to evaluate results of operations and to assess performance and allocate resources. Our chief operating decision maker decided to include the results of our United Tote business in the TwinSpires segment as we evolve our strategy to integrate the United Tote offering with TwinSpires Horse Racing, which we believe will create additional business to business revenue opportunities. Results of our United Tote business were previously included in our All Other segment. The prior year results were reclassified to conform to this presentation.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Calder Land Sale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2022, the Company closed on the previously announced sale of 115.7 acres of excess land near Calder Casino for $291.0 million (or approximately $2.5 million per acre) to Link Logistics, a Blackstone portfolio company. The Company received cash proceeds of $279.0 million, which was net of $12.0 million of transaction costs. Refer to Note 4, Calder Land Sale, for further information on the sale.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global pandemic. The COVID-19 global pandemic has resulted in travel limitations and business and government shutdowns which have had significant negative economic impacts in the United States and in relation to our business. Although vaccines are now available, we cannot predict the duration of the COVID-19 global pandemic. The extent to which the COVID-19 pandemic, including the emergence of variant strains, will continue to impact the Company remains uncertain and will depend on many factors that are not within our control. We will continue to monitor for new developments related to the pandemic and assess these developments to maintain continuity in our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Exit of the Direct Online Sports and Casino Business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24, 2022 the Company announced plans to exit the direct online sports and casino business. The Company will maintain its retail Sports operations and pursue monetization of its online market access licenses.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Effective in 2022 or Thereafter</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and simplifies the accounting for transitioning from the London Interbank Offered Rate (LIBOR) and other interbank offered rates to alternative reference rates. The guidance was effective upon issuance and if elected, will be applied prospectively through December 31, 2022. We are currently evaluating the effect the adoption of this new accounting standard will have on our results of operations,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351155</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NATURAL DISASTER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Hurricane Ida caused damage to portions of Louisiana, including Fair Grounds Race Course &amp; Slots, and 15 off-track betting facilities ("OTBs") owned by Video Services, LLC ("VSI") (collectively, "Fair Grounds and VSI"). Two OTBs remain closed.</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carries property and casualty insurance, as well as business interruption insurance subject to certain deductibles. During the six months ended June 30, 2022, the Company incurred $2.3 million of operating expenses related to ongoing recovery and maintenance efforts and received $3.1 million from our insurance carriers. Through June 30, 2022, the Company has received $5.8 million in insurance recoveries from our insurance carriers and has an insurance recovery receivable of $1.8 million as of June 30, 2022. The Company is currently working with its insurance carriers to finalize its claim. We continue to assess damages and insurance coverage, and we currently do not expect our losses to exceed the applicable insurance recoveries.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CALDER LAND SALE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17, 2022, the Company closed on the previously announced sale of 115.7 acres of excess land near Calder Casino for $291.0 million (or approximately $2.5 million per acre) to Link Logistics, a Blackstone portfolio company. The Company received cash proceeds of $279.0 which was net of $12.0 million of transaction costs. We recognized a gain of $274.6 million on the sale of the land, which is included in other income (expense) in the accompanying Condensed Consolidated Statements of Comprehensive Income. The gain consisted of cash proceeds of $279.0 million offset by the carrying value of the assets sold of $4.4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planning on using certain proceeds of the sale to purchase property as part of the previously announced Peninsula Pacific Entertainment LLC ("P2E") acquisition and to invest in other replacement properties that qualify as Internal Revenue Code §1031 transactions to defer the federal income tax on the gain on the Calder land sale. The Company has identified two reverse like-kind transactions for property acquired prior to the sale of the Calder land and a forward like-kind exchange transaction to acquire additional property for the Internal Revenue Code §1031 transactions.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utilizing a qualified intermediary to facilitate these transactions. The proceeds from the sale have been transferred to the qualified intermediary and are classified as restricted cash on the Condensed Consolidated Balance Sheet. The funds will remain with the qualified intermediary and will be released: (i) if the funds are utilized as part of a like-kind exchange agreement, (ii) if the Company does not identify a suitable replacement property within 45 days after the agreement date, or (iii) when a like-kind exchange agreement is not completed within the allowable time period.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completed one reverse like-kind exchange in June 2022 involving our $9.9 million investment in real property for the Derby City Gaming Downtown facility in Louisville, Kentucky.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second reverse like-kind exchange will involve our investment in real property for the Queen of Terre Haute Casino Resort ("Queen of Terre Haute") property in Terre Haute, Indiana. An exchange accommodation titleholder (“EAT”), a type of variable interest entity, was used to facilitate this reverse like-kind exchange. As of June 30, 2022, $10.0 million had been invested in real property for the Queen of Terre Haute which will be held by the EAT until the exchange transaction is complete. The Company determined that it is the primary beneficiary of the EAT, thus the property held by the EAT has been consolidated and recorded in property and equipment, net on the Condensed Consolidated Balance Sheet. The Company plans to make additional investments in real property for the Queen of Terre Haute and expects to complete this reverse like-kind exchange in fourth quarter 2022.</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planning on utilizing the remainder of the proceeds from the Calder sale to execute a forward like-kind exchange transaction by purchasing property as part of the previously announced acquisition of P2E. The Company anticipates closing the P2E acquisition prior to the end of 2022. If the acquisition of replacement property is not completed within 180 days of the Calder land sale, the proceeds will be distributed to the Company by the qualified intermediary and reclassified as available cash, and all applicable income taxes will be assessed on the remaining gain that was not deferred by acquiring replacement property.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Company recorded $77.9 million in current income taxes payable related to the Calder land sale. Upon completion of the P2E acquisition, the current tax liability will be reclassified as a deferred tax liability on the Condensed Consolidated Balance Sheet.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2021, the assets sold as part of the Calder sale were classified as held for sale on the accompanying Condensed Consolidated Balance Sheets. Calder's operations and assets are included in the Gaming segment in our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DISCONTINUED OPERATIONS AND ASSETS HELD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9, 2018, the Company completed the sale of its mobile gaming subsidiary, Big Fish Games, Inc. ("Big Fish Games"). The Big Fish Games business met the criteria for discontinued operation presentation. The Condensed Consolidated Statements of Cash Flows reflect Big Fish Games as discontinued operations for all periods presented. The Company previously reported combined continuing and discontinued operations in our Condensed Consolidated Statement of Cash Flows. The Company now separates continuing from discontinued operations in our Condensed Consolidated Statement of Cash Flows. The prior year results were reclassified to conform to the current period presentation.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22, 2020, we entered into an agreement in principle to settle Cheryl Kater v. Churchill Downs Incorporated and Manasa Thimmegowda v. Big Fish Games, Inc. The $124.0 million settlement was paid on March 25,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2021, the Company announced an agreement to sell the 326-acre property in Arlington Heights, Illinois (the "Arlington Property"), to the Chicago Bears for $197.2 million. The closing of the sale of the Arlington Property is subject to the satisfaction of various closing conditions and the Company anticipates closing the sale of the Arlington Property in the first quarter of 2023.</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certain assets of Arlington International Racecourse ("Arlington") as held for sale totaling $82.9 million as of June 30, 2022 and $81.5 million as of December 31, 2021, on the accompanying Condensed Consolidated Balance Sheets. Arlington’s operations and assets are included in All Other in our consolidated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was $366.8 million as of June 30, 2022 and December 31, 2021. We performed our annual goodwill impairment analysis as of April 1, 2022, and no adjustment to the carrying value of goodwill was required. We assessed goodwill for impairment by performing qualitative or quantitative analyses for each reporting unit. We concluded that the fair values of our reporting units exceeded their carrying values, and therefore no impairments were identified.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are comprised of the following:</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69"/>
        </w:trPr>
        <w:tc>
          <w:tcPr>
            <w:tcW w:w="2880" w:type="dxa"/>
            <w:vAlign w:val="bottom"/>
          </w:tcPr>
          <w:p>
            <w:pPr>
              <w:spacing w:after="0"/>
              <w:rPr>
                <w:sz w:val="14"/>
                <w:szCs w:val="14"/>
                <w:color w:val="auto"/>
              </w:rPr>
            </w:pPr>
          </w:p>
        </w:tc>
        <w:tc>
          <w:tcPr>
            <w:tcW w:w="134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4"/>
                <w:szCs w:val="14"/>
                <w:color w:val="auto"/>
              </w:rPr>
            </w:pPr>
          </w:p>
        </w:tc>
        <w:tc>
          <w:tcPr>
            <w:tcW w:w="13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4"/>
                <w:szCs w:val="14"/>
                <w:color w:val="auto"/>
              </w:rPr>
            </w:pPr>
          </w:p>
        </w:tc>
        <w:tc>
          <w:tcPr>
            <w:tcW w:w="112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14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23"/>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r>
      <w:tr>
        <w:trPr>
          <w:trHeight w:val="20"/>
        </w:trPr>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established an indefinite-lived intangible asset of $5.0 million for gaming rights in Indiana associated with the planned development of the Queen of Terre Haute Casino Resort.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our annual indefinite-lived intangible assets impairment analysis as of April 1, 2022. We assessed our indefinite-lived intangible assets for impairment by performing qualitative or quantitative analyses for each asset. Based on the results of these analyses, no indefinite-lived intangible asset impairments were identified in connection with our annual impairment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ASSET IMPAIRMENTS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2022, the Company announced plans to exit the direct online sports and casino business. The Company will maintain its retail Sports operations and pursue monetization of its online market access licenses. During the quarter ended March 31, 2022, the Company evaluated whether this planned exit would indicate it is more likely than not that any of the Company’s intangible assets, long-lived assets, current assets or property and equipment, were impaired (“Trigger Event”). Based on the Company’s evaluation, the Company concluded that a Trigger Event occurred related to certain TwinSpires assets. As a result, the Company recorded a $4.9 million non-cash impairment charge related to certain assets in the TwinSpires segment.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2021, the Company recorded an $11.2 million non-cash impairment charge related to certain assets at Churchill Downs Racetrack included in our Live and Historical Racing segment. The impairment was due to a change in the Churchill Downs Racetrack capital plans and the Company's planned usage of these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three and six months ended June 30, 2022 and June 30, 2021 was higher than the U.S. federal statutory rate of 21.0% primarily resulting from state income taxes and non-deductible officer’s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the Board of Directors of the Company approved a common stock repurchase program of up to $300.0 million ("2018 Stock Repurchase Program"). The 2018 Stock Repurchase Program was in effect until September 29, 2021 and had unused authorization of $97.9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2021, the Board of Directors of the Company approved a common stock repurchase program of up to $500.0 million ("2021 Stock Repurchase Program"). The 2021 Stock Repurchase Program includes and is not in addition to any unspent amount remaining under the prior 2018 Stock Repurchase Program authorization. Repurchases may be made at management’s discretion from time to time on the open market (either with or without a 10b5-1 plan) or through privately negotiated transactions. The repurchase program has no time limit and may be suspended or discontinued at any time. We had approximately $359.1 million of repurchase authority remaining under the 2021 Stock Repurchase Program at June 30, 2022, based on trade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under the 2021 Stock Repurchase Program: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share data)</w:t>
            </w:r>
          </w:p>
        </w:tc>
        <w:tc>
          <w:tcPr>
            <w:tcW w:w="21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18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2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18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0"/>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Repurchase Program</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5"/>
                <w:szCs w:val="15"/>
                <w:color w:val="auto"/>
              </w:rPr>
            </w:pPr>
          </w:p>
        </w:tc>
        <w:tc>
          <w:tcPr>
            <w:tcW w:w="10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5"/>
                <w:szCs w:val="15"/>
                <w:color w:val="auto"/>
              </w:rPr>
            </w:pPr>
          </w:p>
        </w:tc>
        <w:tc>
          <w:tcPr>
            <w:tcW w:w="10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0" w:type="dxa"/>
            <w:vAlign w:val="bottom"/>
          </w:tcPr>
          <w:p>
            <w:pPr>
              <w:spacing w:after="0"/>
              <w:rPr>
                <w:sz w:val="1"/>
                <w:szCs w:val="1"/>
                <w:color w:val="auto"/>
              </w:rPr>
            </w:pPr>
          </w:p>
        </w:tc>
      </w:tr>
      <w:tr>
        <w:trPr>
          <w:trHeight w:val="238"/>
        </w:trPr>
        <w:tc>
          <w:tcPr>
            <w:tcW w:w="220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vMerge w:val="continue"/>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0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vMerge w:val="continue"/>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169"/>
        </w:trPr>
        <w:tc>
          <w:tcPr>
            <w:tcW w:w="21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2021 Stock Repurchase</w:t>
            </w: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12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$2.0 million accrued for the future cash settlement of executed repurchases of our common stock and no accrual as of June 30,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Duchossois Group Share Repurchase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2021, the Company entered into an agreement (the "Stock Repurchase Agreement") with an affiliate of The Duchossois Group, Inc. ("TDG") to repurchase 1,000,000 shares of the Company’s common stock for $193.94 per share in a privately negotiated transaction for an aggregate purchase price of $193.9 million. The repurchase of shares of common stock from TDG pursuant to the Stock Repurchase Agreement was approved by the Company's Board of Directors separately from, and did not reduce the authorized amount remaining under, the existing common stock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stock-based employee compensation plans with awards outstanding under the Churchill Downs Incorporated 2016 Omnibus Stock Incentive Plan (the "2016 Plan") and the Executive Long-Term Incentive Compensation Plan, which was adopted pursuant to the 2016 Plan. Our total stock-based compensation expense, which includes expenses related to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awards, restricted stock unit awards ("RSUs"), performance share unit awards, and stock options associated with our employee stock purchase plan was $7.4 million for the three months ended June 30, 2022 and $7.1 million for the three months ended June 30, 2021. Stock-based compensation was $14.4 million for the six months ended June 30, 2022 and $12.6 million for the six months ended June 30,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the Company awarded RSUs to employees and certain named executive officers ("NEOs").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RSUs granted during 2022 is presented below (units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Year</w:t>
            </w:r>
          </w:p>
        </w:tc>
        <w:tc>
          <w:tcPr>
            <w:tcW w:w="100" w:type="dxa"/>
            <w:vAlign w:val="bottom"/>
            <w:vMerge w:val="restart"/>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Award Type</w:t>
            </w:r>
          </w:p>
        </w:tc>
        <w:tc>
          <w:tcPr>
            <w:tcW w:w="100" w:type="dxa"/>
            <w:vAlign w:val="bottom"/>
            <w:vMerge w:val="restart"/>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Units</w:t>
            </w:r>
          </w:p>
        </w:tc>
        <w:tc>
          <w:tcPr>
            <w:tcW w:w="608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Vesting Terms</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Awarded</w:t>
            </w:r>
          </w:p>
        </w:tc>
        <w:tc>
          <w:tcPr>
            <w:tcW w:w="120" w:type="dxa"/>
            <w:vAlign w:val="bottom"/>
          </w:tcPr>
          <w:p>
            <w:pPr>
              <w:spacing w:after="0"/>
              <w:rPr>
                <w:sz w:val="21"/>
                <w:szCs w:val="21"/>
                <w:color w:val="auto"/>
              </w:rPr>
            </w:pPr>
          </w:p>
        </w:tc>
        <w:tc>
          <w:tcPr>
            <w:tcW w:w="6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2"/>
                <w:szCs w:val="22"/>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RSU</w:t>
            </w:r>
          </w:p>
        </w:tc>
        <w:tc>
          <w:tcPr>
            <w:tcW w:w="18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2"/>
                <w:szCs w:val="22"/>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 equally over three service periods ending in 2025</w:t>
            </w:r>
          </w:p>
        </w:tc>
        <w:tc>
          <w:tcPr>
            <w:tcW w:w="0" w:type="dxa"/>
            <w:vAlign w:val="bottom"/>
          </w:tcPr>
          <w:p>
            <w:pPr>
              <w:spacing w:after="0"/>
              <w:rPr>
                <w:sz w:val="1"/>
                <w:szCs w:val="1"/>
                <w:color w:val="auto"/>
              </w:rPr>
            </w:pPr>
          </w:p>
        </w:tc>
      </w:tr>
      <w:tr>
        <w:trPr>
          <w:trHeight w:val="23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RSU</w:t>
            </w:r>
          </w:p>
        </w:tc>
        <w:tc>
          <w:tcPr>
            <w:tcW w:w="18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service period ending in 2023</w:t>
            </w:r>
          </w:p>
        </w:tc>
        <w:tc>
          <w:tcPr>
            <w:tcW w:w="0" w:type="dxa"/>
            <w:vAlign w:val="bottom"/>
          </w:tcPr>
          <w:p>
            <w:pPr>
              <w:spacing w:after="0"/>
              <w:rPr>
                <w:sz w:val="1"/>
                <w:szCs w:val="1"/>
                <w:color w:val="auto"/>
              </w:rPr>
            </w:pPr>
          </w:p>
        </w:tc>
      </w:tr>
      <w:tr>
        <w:trPr>
          <w:trHeight w:val="52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27, 2017, we entered into a senior secured credit agreement (as amended, the "Credit Agreement") with a syndicate of lenders. The Credit Agreement provided for a $700.0 million senior secured revolving credit facility due 2024 (the "Revolver") and a $400.0 million senior secured term loan B due 2024 (the "Term Loan B"). Included in the maximum borrowing of $700.0 million under the Revolver was a letter of credit sub facility not to exceed $50.0 million and a swing line commitment up to a maximum principal amount of $50.0 million. The Credit Agreement is collateralized by substantially all of the wholly-owned assets of the Company.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2020, the Company entered into the Second Amendment to the Credit Agreement (the "Second Amendment"), which (i) provided for a financial covenant relief period through the date on which the Company delivered the Company's quarterly financial statements and compliance certificate for the fiscal quarter ended June 30, 2021, subject to certain exceptions (the "Financial Covenant Relief Period"), (ii) amended the definition of "Consolidated EBITDA" in the Credit Agreement with respect to the calculation of Consolidated EBITDA for the first two fiscal quarters after the termination of the Financial Covenant Relief Period, (iii) extended certain deadlines and made certain other amendments to the Company’s financial reporting obligations, (iv) placed certain restrictions on restricted payments during the Financial Covenant Relief Period, and (v) amended the definitions of "Material Adverse Effect" and "License Revocation" in the Credit Agreement to take into consideration COVID-19.</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1, 2021, the Company entered into the Third Amendment to the Credit Agreement to increase the restricted payments capacity during the Financial Covenant Relief Period from $26.0 million to $226.0 million to accommodate a share repurchase from an affiliate of TDG. Refer to Note 9, Shareholders' Equity, for information regarding this transaction.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17, 2021, the Company entered into the Incremental Joinder Agreement No. 1 (the "Joinder") to its Credit Agreement which provided $300.0 million in New Term Loan Commitments ("Term Loan B-1") as a new tranche of term loans under the existing Credit Agreement (as conformed to recognize the new loan), and carries a maturity date of March 17, 2028. The Term Loan B-1 bears interest at LIBOR plus 200 basis points and requires quarterly payments of 0.25% of the original $300.0 million balance. The Term Loan B-1 may be subject to additional mandatory prepayment from excess cash flow on an annual basis per the provisions of the Credit Agreement. The Company capitalized $3.5 million of debt issuance costs associated with the Joinder which are being amortized as interest expense over the 7-year term of the Term Loan B-1.</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13, 2022, the Company entered into the Fourth Amendment to the Credit Agreement (the "Fourth Amendment") to extend the maturity date of its existing revolving credit facility to April 13, 2027, to increase the commitments under the existing revolving credit facility from $700.0 million to $1.2 billion, and to increase the swing line commitment from $50.0 million to $100.0 million. The Fourth Amendment also provides for a senior secured Delayed Draw Term Loan A credit facility due April 13, 2027 in the amount of $800.0 million which is part of the financing for the proposed acquisition by the Company of substantially all of the assets of P2E. The Company capitalized $2.8 million of debt issuance costs associated with the Revolver commitment increase and $5.7 million of debt issuance costs associated with the Delayed Draw Term Loan A which are being amortized as interest expense over the 5-year term.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and Delayed Draw Term Loan A bear interest at SOFR plus 10 basis points, plus a variable applicable margin which is determined by the Company's net leverage ratio. As of June 30, 2022, that applicable margin was 137.5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was based on the pricing grid in the Fourth Amendment to the Credit Agreement. The Term Loan B and Term Loan B-1 bear interest at LIBOR plus 200 basis points.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compliant with all applicable covenants on June 30,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 Second Supplemental Indenture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17, 2021, the Company completed an offering of $200.0 million in aggregate principal amount of 4.75% Senior Unsecured Notes that mature on January 15, 2028 (the "Additional 2028 Notes") in a private offering to qualified institutional buyers pursuant to Rule 144A that is exempt from registration under the Securities Act, and to certain non-U.S. persons in accordance with Regulation S under the Securities Act. The Additional 2028 Notes were offered under the indenture dated as of December 27, 2017, governing the $500.0 million aggregate principal amount of 4.75% Senior Unsecured Notes due 2028 ("Existing 2028 Notes")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spacing w:after="0" w:line="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Additional 2028 Notes were issued at 103.25% of the principal amount, plus interest deemed to have accrued from January 15, 2021, with interest payable on January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commencing on July 15, 2021. The 2028 Senior Notes will vote as one class under the indenture governing the 2028 Senior Notes. The 3.25% premium will be amortized through interest expense, net over the term of the Additional 2028 Notes.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net proceeds from the Additional 2028 Notes and the Term Loan B-1 (i) to repay indebtedness outstanding under our Revolving Credit Facility, (ii) to fund related transaction fees and expenses and (iii) for working capital and other general corporate purposes.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some or all of the Additional 2028 Notes at any time at redemption prices set forth in the 2028 Offering Memorandum.</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Additional 2028 Notes, the Company and the 2028 Guarantors entered into a Registration Rights Agreement to register any 2028 Senior Notes under the Securities Act for resale that are not freely tradable 366 days from March 17,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Senior Notes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13, 2022, CDI Escrow Issuer, Inc. (the "Escrow Issuer"), a wholly owned subsidiary of the Company, completed an offering of $1.2 billion in aggregate principal amount of 5.75% Senior Unsecured Notes that mature on April 13, 2030 (the "2030 Notes") in a private offering to qualified institutional buyers pursuant to Rule 144A that is exempt from registration under the Securities Act, and to certain non-U.S. persons in accordance with Regulation S under the Securities Act. The offering of the 2030 Notes is part of the financing for the P2E acquisition. The proceeds of the offering were placed in escrow pending satisfaction of certain conditions, including, without limitation, the consummation of the P2E acquisition. In connection with the offering, we capitalized $4.7 million of debt issuance costs which are being amortized as interest expense over the term of the 2030 Notes. Upon completion of this offering, the aggregate principal amount outstanding in escrow of the 2030 Notes is $1.2 billion. The cash held in escrow is invested in money market accounts and included in restricted cash in the Condensed Consolidated Balance Sheet.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2030 Notes were issued at 100% of the principal amount, plus interest deemed to have accrued from April 13, 2022, with interest payable in arrears on April 1 and October 1 of each year, commencing on October 1, 2022. The 2030 Notes will vote as one class under the indenture governing the 2030 Senior Notes.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Escrow Issuer may redeem some or all of the 2030 Notes at any time prior to April 1, 2025, at redemption prices set forth in the 2030 Offering Memorandum.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2030 Notes, the Escrow Issuer and the guarantors of the 2030 Notes entered into a Registration Rights Agreement to register any 2030 Notes under the Securities Act for resale that are not freely tradable 366 days from April 13,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our Live and Historical Racing segment had remaining performance obligations on contracts with a duration greater than one year relating to television rights, sponsorships, personal seat licenses, and admissions,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 transaction price of $74.2 million. The revenue we expect to recognize on these remaining performance obligations is $1.1 million for the remainder of 2022, $30.5 million in 2023, $22.0 million in 2024, and the remainder thereafter.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our remaining performance obligations on contracts with a duration greater than one year in segments other than Live and Historical Racing were not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contract assets were not material.</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2022 and December 31, 2021, contract liabilities were $27.7 million and $64.9 million, respectively, which are included in current deferred revenue, non-current deferred revenue, and accrued expense in the accompanying Condensed Consolidated Balance Sheets. Contract liabilities primarily relate to the Live and Historical Racing segment and the decrease was primarily due to revenue recognized for fulfilled performance obligations. We recognized $43.6 million of revenue during the three months ended June 30, 2022 and $46.8 million of revenue during the six months ended June 30, 2022, which was included in the contract liabilities balance at December 31, 2021. We recognized $28.9 million of revenue during the three months ended June 30, 2021 and $31.5 million of revenue during the six months ended June 30, 2021, which was included in the contract liabilities balance at December 31, 2020.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Note 18, Segment Information, the Company has included its disaggregated revenue disclosures as follows:</w:t>
      </w:r>
    </w:p>
    <w:p>
      <w:pPr>
        <w:spacing w:after="0" w:line="117" w:lineRule="exact"/>
        <w:rPr>
          <w:sz w:val="20"/>
          <w:szCs w:val="20"/>
          <w:color w:val="auto"/>
        </w:rPr>
      </w:pPr>
    </w:p>
    <w:p>
      <w:pPr>
        <w:jc w:val="both"/>
        <w:ind w:left="700" w:hanging="328"/>
        <w:spacing w:after="0" w:line="258"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Live and Historical Racing segment, revenue is disaggregated between racing facilities and HRM facilities given that our racing facilities revenues primarily revolve around live racing events while our HRM facilities revenues primarily revolve around historical racing events.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and other services.</w:t>
      </w:r>
    </w:p>
    <w:p>
      <w:pPr>
        <w:spacing w:after="0" w:line="75"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TwinSpires segment, revenue is disaggregated between Horse Racing and Sports and Casino given that Horse Racing revenue is primarily related to online pari-mutuel wagering on live race events while Sports and Casino revenue relates to casino gaming service offerings. Within the TwinSpires segment, revenue is further disaggregated between live and simulcast racing, gaming, and other services.</w:t>
      </w:r>
    </w:p>
    <w:p>
      <w:pPr>
        <w:spacing w:after="0" w:line="67"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Gaming segment, revenue is disaggregated by location given the geographic economic factors that affect the revenue of Gaming service offerings. Within the Gaming segment, revenue is further disaggregated between live and simulcast racing, historical racing, racing event-related services, gaming, and other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these disclosures depict how the amount, nature, timing, and uncertainty of cash flows are affected by economic factors.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2"/>
                <w:szCs w:val="22"/>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wagering deposits liability</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Purses payable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related benefits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INVESTMENTS IN AND ADVANCES TO UNCONSOLIDATED AFFILIATES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Investments in and advances to unconsolidated affiliates as of June 30, 2022 and December 31, 2021 primarily consisted of a 61.3% interest in Rivers Casino Des Plaines ("Rivers Des Plaines"), a 50% interest in Miami Valley Gaming and Racing ("MVG"), and other immaterial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268605</wp:posOffset>
            </wp:positionV>
            <wp:extent cx="7098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Rivers Des Plaines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operating, investing and financing decisions. As a result, we account for Rivers Des Plaines using the equity method. As of June 30, 2022, the net aggregate basis difference between the Company’s investment in Rivers Des Plaines and the amounts of the underlying equity in net assets was $831.8 million.</w:t>
      </w:r>
    </w:p>
    <w:p>
      <w:pPr>
        <w:spacing w:after="0" w:line="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Rivers Des Plaines was $547.3 million and $554.8 million as of June 30, 2022 and December 31, 2021, respectively. The Company received distributions from Rivers Des Plaines of $61.3 million and $25.3 million for the six months ended June 30,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Miami Valley Gaming</w:t>
      </w:r>
    </w:p>
    <w:p>
      <w:pPr>
        <w:spacing w:after="0" w:line="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Delaware North Companies Gaming &amp; Entertainment Inc. ("DNC") owns the remaining 50% interest in MVG. Since both we and DNC have participating rights over MVG, and both must consent to MVG's operating, investing and financing decisions, we account for MVG using the equity method.</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MVG was $111.3 million and $108.7 million as of June 30, 2022 and December 31, 2021, respectively. The Company received distributions from MVG of $16.5 million and $22.0 million for the six months ended June 30,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Results for our Unconsolidated Affiliates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below are the financial results for our unconsolidated affiliates.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19"/>
                <w:szCs w:val="19"/>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7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SG&amp;A expense</w:t>
            </w:r>
          </w:p>
        </w:tc>
        <w:tc>
          <w:tcPr>
            <w:tcW w:w="1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205"/>
        </w:trPr>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23"/>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23"/>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OF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320675</wp:posOffset>
            </wp:positionV>
            <wp:extent cx="7098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restricted cash accounts held in money market and interest-bearing accounts qualify for Level 1 in the fair value hierarchy, which includes unadjusted quoted market prices in active markets for identical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2030 Senior Notes, 2028 Senior Notes, and 5.50% Senior Notes due 2027 (the "2027 Senior Notes") are estimated based on unadjusted quoted prices for identical or similar liabilities in markets that are not active and as such are Level 2 measurements. The fair values of the Company's Term Loan B, Term Loan B-1, and Revolver under the Credit Agreement approximate the gross carrying value of the variable rate debt and as such are Level 2 measurements.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estimated fair values by input level of the Company's financial instruments are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4"/>
                <w:szCs w:val="14"/>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 Senior Notes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4"/>
                <w:szCs w:val="14"/>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Senior Notes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354330</wp:posOffset>
            </wp:positionV>
            <wp:extent cx="7098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PER COMMON SHARE COMPUTATIONS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net income per common share computations: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net income per common share:</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 for net income per common share:</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4"/>
        </w:trPr>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Plus dilutive effect of stock awards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 data:</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4"/>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through three reportable segments:</w:t>
      </w:r>
    </w:p>
    <w:p>
      <w:pPr>
        <w:spacing w:after="0" w:line="11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Live and Historical Racing</w:t>
      </w:r>
    </w:p>
    <w:p>
      <w:pPr>
        <w:spacing w:after="0" w:line="6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 and Historical Racing segment includes live and historical pari-mutuel racing related revenue and expenses at Churchill Downs Racetrack, Derby City Gaming, Oak Grove, Turfway Park, and Newport.</w:t>
      </w:r>
    </w:p>
    <w:p>
      <w:pPr>
        <w:spacing w:after="0" w:line="5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Downs Racetrack is the home of the Kentucky Derby and conducts live racing during the year. Derby City Gaming is an historical racing machine ("HRM") facility that operates under the Churchill Downs pari-mutuel racing license at its ancillary training facility in Louisville, Kentucky. Oak Grove conducts live harness racing during the year and operates a HRM facility under its pari-mutuel racing license. Turfway Park conducts live racing during the year, and Newport is an ancillary HRM facility that operates under the Turfway Park pari-mutuel racing license.</w:t>
      </w:r>
    </w:p>
    <w:p>
      <w:pPr>
        <w:spacing w:after="0" w:line="7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Live and Historical Racing properties earn commissions primarily from pari-mutuel wagering on live and historical races; simulcast fees earned from other wagering sites; admissions, personal seat licenses, sponsorships, television rights, and other miscellaneous services (collectively "racing event-related services"), as well as food and beverage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TwinSpires</w:t>
      </w:r>
    </w:p>
    <w:p>
      <w:pPr>
        <w:spacing w:after="0" w:line="67"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TwinSpires segment includes the revenue and expenses for the online horse racing and the retail and online Sports and Casino business.</w:t>
      </w:r>
    </w:p>
    <w:p>
      <w:pPr>
        <w:spacing w:after="0" w:line="117" w:lineRule="exact"/>
        <w:rPr>
          <w:rFonts w:ascii="Times New Roman" w:cs="Times New Roman" w:eastAsia="Times New Roman" w:hAnsi="Times New Roman"/>
          <w:sz w:val="18"/>
          <w:szCs w:val="18"/>
          <w:b w:val="1"/>
          <w:bCs w:val="1"/>
          <w:i w:val="1"/>
          <w:iCs w:val="1"/>
          <w:color w:val="auto"/>
        </w:rPr>
      </w:pPr>
    </w:p>
    <w:p>
      <w:pPr>
        <w:jc w:val="both"/>
        <w:ind w:left="6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TwinSpires Horse Racing operates online horse racing wagering for TwinSpires.com, BetAmerica.com, and other white-label platforms; facilitates high dollar wagering by international customers (through Velocity); and provides the Bloodstock Research Information Services platform for horse racing statistical data. Also included in TwinSpires Horse Racing is our United Tote business which provides totalisator services to patrons who wager on horse races.</w:t>
      </w:r>
    </w:p>
    <w:p>
      <w:pPr>
        <w:spacing w:after="0" w:line="71"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TwinSpires Sports and Casino business includes the retail and online sports and casino gaming operations.</w:t>
      </w:r>
    </w:p>
    <w:p>
      <w:pPr>
        <w:spacing w:after="0" w:line="117" w:lineRule="exact"/>
        <w:rPr>
          <w:rFonts w:ascii="Times New Roman" w:cs="Times New Roman" w:eastAsia="Times New Roman" w:hAnsi="Times New Roman"/>
          <w:sz w:val="18"/>
          <w:szCs w:val="18"/>
          <w:b w:val="1"/>
          <w:bCs w:val="1"/>
          <w:i w:val="1"/>
          <w:iCs w:val="1"/>
          <w:color w:val="auto"/>
        </w:rPr>
      </w:pPr>
    </w:p>
    <w:p>
      <w:pPr>
        <w:ind w:left="6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TwinSpires Sports and Casino business operates our sports betting and casino platform in multiple states. The TwinSpires Sports and Casino business includes the mobile and online sports betting and casino results and the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of seven of our retail sportsbooks, which include our wholly-owned properties at Harlow’s Casino Resort and Spa ("Harlow’s"), Presque Isle, Riverwalk Casino Hotel (“Riverwalk”), Ocean Downs Casino and Racetrack ("Ocean Downs"), Fair Grounds Racecourse and Slots, as well as in Arizona and Michigan which utilize a third party's casino license. On February 24, 2022 the Company announced its plans to exit the direct online sports and casino business and pursue monetization of its online market access licenses.</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Gaming</w:t>
      </w:r>
    </w:p>
    <w:p>
      <w:pPr>
        <w:spacing w:after="0" w:line="67" w:lineRule="exact"/>
        <w:rPr>
          <w:rFonts w:ascii="Times New Roman" w:cs="Times New Roman" w:eastAsia="Times New Roman" w:hAnsi="Times New Roman"/>
          <w:sz w:val="18"/>
          <w:szCs w:val="18"/>
          <w:b w:val="1"/>
          <w:bCs w:val="1"/>
          <w:color w:val="auto"/>
        </w:rPr>
      </w:pPr>
    </w:p>
    <w:p>
      <w:pPr>
        <w:ind w:left="660"/>
        <w:spacing w:after="0" w:line="32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Gaming segment includes revenue and expenses for the casino properties and associated racetrack facilities which support the casino license. The Gaming segment has approximately 11,000 slot machines and video lottery terminals ("VLTs") and 200 table games located in eight states. The Gaming segment revenue and Adjusted EBITDA includes the following properties:</w:t>
      </w:r>
    </w:p>
    <w:p>
      <w:pPr>
        <w:spacing w:after="0" w:line="1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Calder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Grounds and VSI</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Harlow’s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Lady Luck Casino Nemacolin ("Lady Luck Nemacolin") management agreement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Ocean Downs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Casino and Hotel ("Oxford")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Presque Isle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Riverwalk</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Gaming segment Adjusted EBITDA also includes the Adjusted EBITDA related to the Company’s equity investments in the following:</w:t>
      </w:r>
    </w:p>
    <w:p>
      <w:pPr>
        <w:spacing w:after="0" w:line="117"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 equity investment in Rivers Des Plaines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equity investment in MVG</w:t>
      </w:r>
    </w:p>
    <w:p>
      <w:pPr>
        <w:spacing w:after="0" w:line="9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Gaming segment generates revenue and expenses from slot machines, table games, VLTs, video poker, retail sports betting, ancillary food and beverage services, hotel services, commission on pari-mutuel wagering, racing event-related services, historical racing, and / or other miscellaneous operations.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aggregated the following businesses as well as certain corporate operations, and other immaterial joint ventures in "All Other" to reconcile to consolidated results:</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Arlington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w:t>
      </w:r>
    </w:p>
    <w:p>
      <w:pPr>
        <w:spacing w:after="0" w:line="9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conduct our business through these reportable segments and report net revenue and operating expense associated with these reportable segments in the accompanying condensed Consolidated Statements of Comprehensive Income. 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includes our portion of EBITDA from our equity investments.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excludes:</w:t>
      </w:r>
    </w:p>
    <w:p>
      <w:pPr>
        <w:spacing w:after="0" w:line="117"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which includes: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Acquisition, disposition, and land sale related charges;</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Direct online Sports and Casino business costs; and</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transaction expense, including legal, accounting, and other deal-related expense;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 Des Plaines' impact on our investments in unconsolidated affiliates from:</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impact of changes in fair value of interest rate swaps; and</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Legal reserves and transaction costs;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Calder land sale;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reserves;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recoveries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331470</wp:posOffset>
            </wp:positionV>
            <wp:extent cx="7098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Arlington ceased racing and simulcast operations given the pending sale of the property to the Chicago Bears. Arlington's operating loss in the current quarter and year is treated as an adjustment to EBITDA and is included in Other expenses, net in the Reconciliation of Comprehensive Income to Adjusted EBITDA.</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542290</wp:posOffset>
            </wp:positionV>
            <wp:extent cx="7098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present net revenue from external customers and intercompany revenue from each of our segments, net revenue from external customers for each group of similar services, Adjusted EBITDA by segment, and a reconciliation of comprehensive income to Adjusted EBITDA:</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1"/>
        </w:trPr>
        <w:tc>
          <w:tcPr>
            <w:tcW w:w="49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3"/>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Live and Historical Racing: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0" w:type="dxa"/>
            <w:vAlign w:val="bottom"/>
          </w:tcPr>
          <w:p>
            <w:pPr>
              <w:spacing w:after="0"/>
              <w:rPr>
                <w:sz w:val="19"/>
                <w:szCs w:val="19"/>
                <w:color w:val="auto"/>
              </w:rPr>
            </w:pP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19"/>
                <w:szCs w:val="19"/>
                <w:color w:val="auto"/>
              </w:rPr>
            </w:pP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0" w:type="dxa"/>
            <w:vAlign w:val="bottom"/>
          </w:tcPr>
          <w:p>
            <w:pPr>
              <w:spacing w:after="0"/>
              <w:rPr>
                <w:sz w:val="19"/>
                <w:szCs w:val="19"/>
                <w:color w:val="auto"/>
              </w:rPr>
            </w:pP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Derby City Gaming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Oak Grove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Turfway Park</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Newport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Live and Historical Racing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33"/>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TwinSpires: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Horse Racing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34"/>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Sports and Casino</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4"/>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TwinSpires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34"/>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Grounds and VSI</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Presque Isle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Ocean Downs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Calder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Oxford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Riverwalk</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Harlow’s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4"/>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Lady Luck Nemacolin</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8"/>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Gaming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34"/>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 from external customers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453"/>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7"/>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49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Intercompany net 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4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4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9"/>
                <w:szCs w:val="19"/>
                <w:color w:val="auto"/>
              </w:rPr>
            </w:pPr>
          </w:p>
        </w:tc>
        <w:tc>
          <w:tcPr>
            <w:tcW w:w="4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TwinSpires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Gaming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net revenue</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386080</wp:posOffset>
            </wp:positionV>
            <wp:extent cx="7098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TwinSpires</w:t>
            </w:r>
          </w:p>
        </w:tc>
        <w:tc>
          <w:tcPr>
            <w:tcW w:w="140" w:type="dxa"/>
            <w:vAlign w:val="bottom"/>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3"/>
        </w:trPr>
        <w:tc>
          <w:tcPr>
            <w:tcW w:w="434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9"/>
        </w:trPr>
        <w:tc>
          <w:tcPr>
            <w:tcW w:w="43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38"/>
        </w:trPr>
        <w:tc>
          <w:tcPr>
            <w:tcW w:w="434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3"/>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TwinSpires</w:t>
            </w:r>
          </w:p>
        </w:tc>
        <w:tc>
          <w:tcPr>
            <w:tcW w:w="140" w:type="dxa"/>
            <w:vAlign w:val="bottom"/>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33"/>
        </w:trPr>
        <w:tc>
          <w:tcPr>
            <w:tcW w:w="434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43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38"/>
        </w:trPr>
        <w:tc>
          <w:tcPr>
            <w:tcW w:w="434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640" w:hanging="4"/>
        <w:spacing w:after="0" w:line="261" w:lineRule="auto"/>
        <w:tabs>
          <w:tab w:leader="none" w:pos="9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Pari-mutuel revenue for HRMs or Gaming revenue for our casino properties. These amounts were $7.7 million for the three months ended June 30, 2022 and $5.2 million for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3237230</wp:posOffset>
            </wp:positionV>
            <wp:extent cx="7098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 10-Q FOR THE QUARTERLY PERIOD ENDED JUNE 30, 2022</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type w:val="continuous"/>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Live and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21"/>
                <w:szCs w:val="21"/>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40" w:type="dxa"/>
            <w:vAlign w:val="bottom"/>
          </w:tcPr>
          <w:p>
            <w:pPr>
              <w:spacing w:after="0"/>
              <w:rPr>
                <w:sz w:val="21"/>
                <w:szCs w:val="21"/>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TwinSpires</w:t>
            </w:r>
          </w:p>
        </w:tc>
        <w:tc>
          <w:tcPr>
            <w:tcW w:w="100" w:type="dxa"/>
            <w:vAlign w:val="bottom"/>
          </w:tcPr>
          <w:p>
            <w:pPr>
              <w:spacing w:after="0"/>
              <w:rPr>
                <w:sz w:val="21"/>
                <w:szCs w:val="21"/>
                <w:color w:val="auto"/>
              </w:rPr>
            </w:pPr>
          </w:p>
        </w:tc>
        <w:tc>
          <w:tcPr>
            <w:tcW w:w="96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20" w:type="dxa"/>
            <w:vAlign w:val="bottom"/>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60" w:type="dxa"/>
            <w:vAlign w:val="bottom"/>
            <w:gridSpan w:val="2"/>
          </w:tcPr>
          <w:p>
            <w:pPr>
              <w:ind w:left="340"/>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Pari-mutuel: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gridSpan w:val="2"/>
          </w:tcPr>
          <w:p>
            <w:pPr>
              <w:ind w:left="46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6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5"/>
                <w:szCs w:val="1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21"/>
                <w:szCs w:val="21"/>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TwinSpires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5"/>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Pari-mutuel: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33"/>
        </w:trPr>
        <w:tc>
          <w:tcPr>
            <w:tcW w:w="4360" w:type="dxa"/>
            <w:vAlign w:val="bottom"/>
            <w:gridSpan w:val="2"/>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38"/>
        </w:trPr>
        <w:tc>
          <w:tcPr>
            <w:tcW w:w="434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839.4</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640" w:hanging="4"/>
        <w:spacing w:after="0" w:line="261" w:lineRule="auto"/>
        <w:tabs>
          <w:tab w:leader="none" w:pos="9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Pari-mutuel revenue for HRMs or Gaming revenue for our casino properties. These amounts were $14.8 million for the six months ended June 30, 2022 and $8.9 million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614045</wp:posOffset>
            </wp:positionV>
            <wp:extent cx="7098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10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280" w:type="dxa"/>
            <w:vAlign w:val="bottom"/>
          </w:tcPr>
          <w:p>
            <w:pPr>
              <w:spacing w:after="0"/>
              <w:rPr>
                <w:sz w:val="14"/>
                <w:szCs w:val="14"/>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TwinSpires</w:t>
            </w:r>
          </w:p>
        </w:tc>
        <w:tc>
          <w:tcPr>
            <w:tcW w:w="480" w:type="dxa"/>
            <w:vAlign w:val="bottom"/>
          </w:tcPr>
          <w:p>
            <w:pPr>
              <w:spacing w:after="0"/>
              <w:rPr>
                <w:sz w:val="14"/>
                <w:szCs w:val="14"/>
                <w:color w:val="auto"/>
              </w:rPr>
            </w:pPr>
          </w:p>
        </w:tc>
        <w:tc>
          <w:tcPr>
            <w:tcW w:w="12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280" w:type="dxa"/>
            <w:vAlign w:val="bottom"/>
          </w:tcPr>
          <w:p>
            <w:pPr>
              <w:spacing w:after="0"/>
              <w:rPr>
                <w:sz w:val="14"/>
                <w:szCs w:val="14"/>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TwinSpires</w:t>
            </w:r>
          </w:p>
        </w:tc>
        <w:tc>
          <w:tcPr>
            <w:tcW w:w="480" w:type="dxa"/>
            <w:vAlign w:val="bottom"/>
          </w:tcPr>
          <w:p>
            <w:pPr>
              <w:spacing w:after="0"/>
              <w:rPr>
                <w:sz w:val="14"/>
                <w:szCs w:val="14"/>
                <w:color w:val="auto"/>
              </w:rPr>
            </w:pPr>
          </w:p>
        </w:tc>
        <w:tc>
          <w:tcPr>
            <w:tcW w:w="12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3951605</wp:posOffset>
            </wp:positionV>
            <wp:extent cx="70980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10-Q FOR THE QUARTERLY PERIOD ENDED JUNE 30, 2022</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2022</w:t>
            </w: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280" w:type="dxa"/>
            <w:vAlign w:val="bottom"/>
          </w:tcPr>
          <w:p>
            <w:pPr>
              <w:spacing w:after="0"/>
              <w:rPr>
                <w:sz w:val="14"/>
                <w:szCs w:val="14"/>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TwinSpires</w:t>
            </w:r>
          </w:p>
        </w:tc>
        <w:tc>
          <w:tcPr>
            <w:tcW w:w="420" w:type="dxa"/>
            <w:vAlign w:val="bottom"/>
          </w:tcPr>
          <w:p>
            <w:pPr>
              <w:spacing w:after="0"/>
              <w:rPr>
                <w:sz w:val="14"/>
                <w:szCs w:val="14"/>
                <w:color w:val="auto"/>
              </w:rPr>
            </w:pPr>
          </w:p>
        </w:tc>
        <w:tc>
          <w:tcPr>
            <w:tcW w:w="13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280" w:type="dxa"/>
            <w:vAlign w:val="bottom"/>
          </w:tcPr>
          <w:p>
            <w:pPr>
              <w:spacing w:after="0"/>
              <w:rPr>
                <w:sz w:val="14"/>
                <w:szCs w:val="14"/>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TwinSpires</w:t>
            </w:r>
          </w:p>
        </w:tc>
        <w:tc>
          <w:tcPr>
            <w:tcW w:w="420" w:type="dxa"/>
            <w:vAlign w:val="bottom"/>
          </w:tcPr>
          <w:p>
            <w:pPr>
              <w:spacing w:after="0"/>
              <w:rPr>
                <w:sz w:val="14"/>
                <w:szCs w:val="14"/>
                <w:color w:val="auto"/>
              </w:rPr>
            </w:pPr>
          </w:p>
        </w:tc>
        <w:tc>
          <w:tcPr>
            <w:tcW w:w="13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608330</wp:posOffset>
            </wp:positionV>
            <wp:extent cx="7098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5"/>
        </w:trPr>
        <w:tc>
          <w:tcPr>
            <w:tcW w:w="484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Reconciliation of Comprehensive Income to Adjusted</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7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4"/>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8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reserve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expense,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Interest, depreciation and amortization expense related to</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investments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80"/>
        </w:trPr>
        <w:tc>
          <w:tcPr>
            <w:tcW w:w="484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Changes in fair value of Rivers Des Plaines' interest rate</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swaps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Rivers Des Plaines' legal reserves and transaction costs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charges</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Calder land sale</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adjustments to EBITDA</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1"/>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8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TwinSpires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8"/>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tabs>
          <w:tab w:leader="none" w:pos="460" w:val="left"/>
          <w:tab w:leader="none" w:pos="1000" w:val="left"/>
          <w:tab w:leader="none" w:pos="1620" w:val="left"/>
          <w:tab w:leader="none" w:pos="2400" w:val="left"/>
          <w:tab w:leader="none" w:pos="3440" w:val="left"/>
          <w:tab w:leader="none" w:pos="4020" w:val="left"/>
          <w:tab w:leader="none" w:pos="4660" w:val="left"/>
          <w:tab w:leader="none" w:pos="5000" w:val="left"/>
          <w:tab w:leader="none" w:pos="5720" w:val="left"/>
          <w:tab w:leader="none" w:pos="6040" w:val="left"/>
          <w:tab w:leader="none" w:pos="7320" w:val="left"/>
          <w:tab w:leader="none" w:pos="8140" w:val="left"/>
          <w:tab w:leader="none" w:pos="8940" w:val="left"/>
          <w:tab w:leader="none" w:pos="9280" w:val="left"/>
          <w:tab w:leader="none" w:pos="9700" w:val="left"/>
          <w:tab w:leader="none" w:pos="10500" w:val="left"/>
        </w:tabs>
        <w:rPr>
          <w:sz w:val="20"/>
          <w:szCs w:val="20"/>
          <w:color w:val="auto"/>
        </w:rPr>
      </w:pPr>
      <w:r>
        <w:rPr>
          <w:rFonts w:ascii="Times New Roman" w:cs="Times New Roman" w:eastAsia="Times New Roman" w:hAnsi="Times New Roman"/>
          <w:sz w:val="18"/>
          <w:szCs w:val="18"/>
          <w:color w:val="auto"/>
        </w:rPr>
        <w:t>The</w:t>
        <w:tab/>
        <w:t>table</w:t>
        <w:tab/>
        <w:t>below</w:t>
        <w:tab/>
        <w:t>presents</w:t>
        <w:tab/>
        <w:t>information</w:t>
        <w:tab/>
        <w:t>about</w:t>
        <w:tab/>
        <w:t>equity</w:t>
        <w:tab/>
        <w:t>in</w:t>
        <w:tab/>
        <w:t>income</w:t>
        <w:tab/>
        <w:t>of</w:t>
        <w:tab/>
        <w:t>unconsolidated</w:t>
        <w:tab/>
        <w:t>affiliates</w:t>
        <w:tab/>
        <w:t>included</w:t>
        <w:tab/>
        <w:t>in</w:t>
        <w:tab/>
        <w:t>our</w:t>
        <w:tab/>
        <w:t>reported</w:t>
        <w:tab/>
        <w:t>segments: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554355</wp:posOffset>
            </wp:positionV>
            <wp:extent cx="7098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total asset information for each of our segments:</w:t>
            </w: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5"/>
        </w:trPr>
        <w:tc>
          <w:tcPr>
            <w:tcW w:w="7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r>
      <w:tr>
        <w:trPr>
          <w:trHeight w:val="229"/>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TwinSpires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34"/>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Gaming</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w:t>
            </w:r>
          </w:p>
        </w:tc>
      </w:tr>
      <w:tr>
        <w:trPr>
          <w:trHeight w:val="218"/>
        </w:trPr>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segment assets</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1,975.6</w:t>
            </w:r>
          </w:p>
        </w:tc>
      </w:tr>
      <w:tr>
        <w:trPr>
          <w:trHeight w:val="234"/>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23"/>
        </w:trPr>
        <w:tc>
          <w:tcPr>
            <w:tcW w:w="71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w:t>
            </w:r>
          </w:p>
        </w:tc>
      </w:tr>
      <w:tr>
        <w:trPr>
          <w:trHeight w:val="21"/>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total capital expenditures for each of our segments:</w:t>
      </w:r>
    </w:p>
    <w:p>
      <w:pPr>
        <w:spacing w:after="0" w:line="4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72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Capital expenditures, net:</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TwinSpires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8"/>
        </w:trPr>
        <w:tc>
          <w:tcPr>
            <w:tcW w:w="7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segment capital expenditures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4"/>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2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7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there were no subsequent events that may impact our disclosures in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7098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and similar words, although some forward-looking statements are expressed differently.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w:t>
      </w:r>
    </w:p>
    <w:p>
      <w:pPr>
        <w:spacing w:after="0" w:line="67" w:lineRule="exact"/>
        <w:rPr>
          <w:sz w:val="20"/>
          <w:szCs w:val="20"/>
          <w:color w:val="auto"/>
        </w:rPr>
      </w:pPr>
    </w:p>
    <w:p>
      <w:pPr>
        <w:ind w:left="660" w:right="80" w:hanging="328"/>
        <w:spacing w:after="0" w:line="306"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regulatory approvals on terms desired or anticipated, unanticipated difficulties or expenditures relating to our proposed transactions, including, without limitation, difficulties that result in the failure to realize expected synergies, efficiencies and cost savings from the proposed</w:t>
      </w:r>
    </w:p>
    <w:p>
      <w:pPr>
        <w:spacing w:after="0" w:line="1" w:lineRule="exact"/>
        <w:rPr>
          <w:rFonts w:ascii="Times New Roman" w:cs="Times New Roman" w:eastAsia="Times New Roman" w:hAnsi="Times New Roman"/>
          <w:sz w:val="17"/>
          <w:szCs w:val="17"/>
          <w:color w:val="auto"/>
        </w:rPr>
      </w:pPr>
    </w:p>
    <w:p>
      <w:pPr>
        <w:ind w:left="660" w:right="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within the expected time period (if at all) and risks in connection with Internal Revenue Code §1031 exchanges, our ability to obtain financing on the anticipated terms and schedule, disruptions of our or Peninsula Pacific Entertainment LLC's ("P2E") current plans, operations and</w:t>
      </w:r>
    </w:p>
    <w:p>
      <w:pPr>
        <w:spacing w:after="0" w:line="1" w:lineRule="exact"/>
        <w:rPr>
          <w:rFonts w:ascii="Times New Roman" w:cs="Times New Roman" w:eastAsia="Times New Roman" w:hAnsi="Times New Roman"/>
          <w:sz w:val="17"/>
          <w:szCs w:val="17"/>
          <w:color w:val="auto"/>
        </w:rPr>
      </w:pPr>
    </w:p>
    <w:p>
      <w:pPr>
        <w:ind w:left="660" w:right="580"/>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relationships with customers and suppliers caused by the announcement and pendency of the proposed transaction, our and P2E’s ability to consummate a sale-leaseback transaction with respect to the Hard Rock Sioux City on terms desired or anticipated;</w:t>
      </w:r>
    </w:p>
    <w:p>
      <w:pPr>
        <w:spacing w:after="0" w:line="1" w:lineRule="exact"/>
        <w:rPr>
          <w:rFonts w:ascii="Times New Roman" w:cs="Times New Roman" w:eastAsia="Times New Roman" w:hAnsi="Times New Roman"/>
          <w:sz w:val="17"/>
          <w:szCs w:val="17"/>
          <w:color w:val="auto"/>
        </w:rPr>
      </w:pPr>
    </w:p>
    <w:p>
      <w:pPr>
        <w:ind w:left="660" w:right="500" w:hanging="328"/>
        <w:spacing w:after="0" w:line="28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(COVID-19) pandemic, including the emergence of variant strains, and related economic matters on our results of operations, financial conditions and prospects;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the occurrence of extraordinary events, such as terrorist attacks, public health threats, civil unrest, and inclement weather;</w:t>
      </w:r>
    </w:p>
    <w:p>
      <w:pPr>
        <w:spacing w:after="0" w:line="49" w:lineRule="exact"/>
        <w:rPr>
          <w:rFonts w:ascii="Arial" w:cs="Arial" w:eastAsia="Arial" w:hAnsi="Arial"/>
          <w:sz w:val="14"/>
          <w:szCs w:val="14"/>
          <w:color w:val="auto"/>
        </w:rPr>
      </w:pPr>
    </w:p>
    <w:p>
      <w:pPr>
        <w:ind w:left="660" w:right="620" w:hanging="328"/>
        <w:spacing w:after="0" w:line="281" w:lineRule="auto"/>
        <w:tabs>
          <w:tab w:leader="none" w:pos="65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the effect of economic conditions on our consumers' confidence and discretionary spending or our access to credit, including the impact of inflation;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additional or increased taxes and fees;</w:t>
      </w:r>
    </w:p>
    <w:p>
      <w:pPr>
        <w:spacing w:after="0" w:line="49"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the impact of significant competition, and the expectation the competition levels will increase;</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changes in consumer preferences, attendance, wagering, and sponsorships;</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loss of key or highly skilled personnel;</w:t>
      </w:r>
    </w:p>
    <w:p>
      <w:pPr>
        <w:spacing w:after="0" w:line="49"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lack of confidence in the integrity of our core businesses or any deterioration in our reputation;</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risks associated with equity investments, strategic alliances and other third-party agreements;</w:t>
      </w:r>
    </w:p>
    <w:p>
      <w:pPr>
        <w:spacing w:after="0" w:line="49"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inability to respond to rapid technological changes in a timely manner;</w:t>
      </w:r>
    </w:p>
    <w:p>
      <w:pPr>
        <w:spacing w:after="0" w:line="36" w:lineRule="exact"/>
        <w:rPr>
          <w:rFonts w:ascii="Arial" w:cs="Arial" w:eastAsia="Arial" w:hAnsi="Arial"/>
          <w:sz w:val="14"/>
          <w:szCs w:val="14"/>
          <w:color w:val="auto"/>
        </w:rPr>
      </w:pPr>
    </w:p>
    <w:p>
      <w:pPr>
        <w:ind w:left="660" w:right="320" w:hanging="328"/>
        <w:spacing w:after="0" w:line="289" w:lineRule="auto"/>
        <w:tabs>
          <w:tab w:leader="none" w:pos="65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concentration and evolution of slot machine and historical racing machine ("HRM") manufacturing and other technology conditions that could impose additional costs;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inability to negotiate agreements with industry constituents, including horsemen and other racetracks;</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inability to successfully focus on market access and retail operations for our TwinSpires Sports and Casino business and effectively compete;</w:t>
      </w:r>
    </w:p>
    <w:p>
      <w:pPr>
        <w:spacing w:after="0" w:line="49" w:lineRule="exact"/>
        <w:rPr>
          <w:rFonts w:ascii="Arial" w:cs="Arial" w:eastAsia="Arial" w:hAnsi="Arial"/>
          <w:sz w:val="14"/>
          <w:szCs w:val="14"/>
          <w:color w:val="auto"/>
        </w:rPr>
      </w:pPr>
    </w:p>
    <w:p>
      <w:pPr>
        <w:ind w:left="660" w:right="40" w:hanging="328"/>
        <w:spacing w:after="0" w:line="281" w:lineRule="auto"/>
        <w:tabs>
          <w:tab w:leader="none" w:pos="65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inability to identify, complete, or fully realize the benefits of, our proposed acquisitions, divestitures, development of new venues or the expansion of existing facilities on time, on budget, or as planned;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general risks related to real estate ownership and significant expenditures, including fluctuations in market values and environmental regulations;</w:t>
      </w:r>
    </w:p>
    <w:p>
      <w:pPr>
        <w:spacing w:after="0" w:line="49"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reliance on our technology services and catastrophic events and system failures disrupting our operations;</w:t>
      </w:r>
    </w:p>
    <w:p>
      <w:pPr>
        <w:spacing w:after="0" w:line="36" w:lineRule="exact"/>
        <w:rPr>
          <w:rFonts w:ascii="Arial" w:cs="Arial" w:eastAsia="Arial" w:hAnsi="Arial"/>
          <w:sz w:val="14"/>
          <w:szCs w:val="14"/>
          <w:color w:val="auto"/>
        </w:rPr>
      </w:pPr>
    </w:p>
    <w:p>
      <w:pPr>
        <w:ind w:left="660" w:right="320" w:hanging="328"/>
        <w:spacing w:after="0" w:line="289" w:lineRule="auto"/>
        <w:tabs>
          <w:tab w:leader="none" w:pos="65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online security risk, including cyber-security breaches, or loss or misuse of our stored information as a result of a breach, including customers’ personal information, could lead to government enforcement actions or other litigation;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personal injury litigation related to injuries occurring at our racetracks;</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8"/>
          <w:szCs w:val="18"/>
          <w:color w:val="auto"/>
        </w:rPr>
        <w:t>compliance with the Foreign Corrupt Practices Act or applicable money-laundering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291465</wp:posOffset>
            </wp:positionV>
            <wp:extent cx="7098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660" w:hanging="328"/>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payment-related risks, such as risk associated with fraudulent credit card and debit card use;</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work stoppages and labor issues;</w:t>
      </w:r>
    </w:p>
    <w:p>
      <w:pPr>
        <w:spacing w:after="0" w:line="49"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risks related to pending or future legal proceedings and other actions;</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highly regulated operations and changes in the regulatory environment could adversely affect our business;</w:t>
      </w:r>
    </w:p>
    <w:p>
      <w:pPr>
        <w:spacing w:after="0" w:line="49"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restrictions in our debt facilities limiting our flexibility to operate our business;</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failure to comply with the financial ratios and other covenants in our debt facilities and other indebtedness;</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disruptions in the credit markets or changes to our credit ratings may adversely affect our business; and</w:t>
      </w:r>
    </w:p>
    <w:p>
      <w:pPr>
        <w:spacing w:after="0" w:line="49" w:lineRule="exact"/>
        <w:rPr>
          <w:rFonts w:ascii="Arial" w:cs="Arial" w:eastAsia="Arial" w:hAnsi="Arial"/>
          <w:sz w:val="14"/>
          <w:szCs w:val="14"/>
          <w:color w:val="auto"/>
        </w:rPr>
      </w:pPr>
    </w:p>
    <w:p>
      <w:pPr>
        <w:ind w:left="660" w:right="660" w:hanging="328"/>
        <w:spacing w:after="0" w:line="313" w:lineRule="auto"/>
        <w:tabs>
          <w:tab w:leader="none" w:pos="656"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8"/>
          <w:szCs w:val="18"/>
          <w:color w:val="auto"/>
        </w:rPr>
        <w:t>increase in our insurance costs, or obtain similar insurance coverage in the future, and inability to recover under our insurance policies for damages sustained at our properties in the event of inclement weather and casualty events.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is unaudited. Tabular dollars are in millions, except per share amounts. All per share amounts assume dilution unless otherwise noted. This report should be read in conjunction with our Annual Report on Form 10-K for the year ended December 31, 2021, including Part I - Item 1A, "Risk Factors" of our Form 10-K for a discussion regarding some of the reasons that actual results may be materially different from those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Churchill Downs Incorporated (the "Company") is an industry-leading racing, online wagering and gaming entertainment company anchored by our iconic flagship event, the Kentucky Derby. We own and operate three entertainment venues with approximately 3,050 HRMs in Kentucky. We also own and operate TwinSpires, one of the largest and most profitable online wagering platforms for horse racing in the U.S. and we have eight retail sportsbooks. We are also a leader in brick-and-mortar casino gaming in eight states with approximately 11,000 slot machines and video lottery terminals ("VLTs") and 200 table games. We were organized as a Kentucky corporation in 1928, and our principal executive offices are located in Louisville, Kentucky.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we updated our operating segments to reflect the internal management reporting used by our chief operating decision maker to evaluate results of operations and to assess performance and allocate resources. Our chief operating decision maker decided to include the results of our United Tote business in the TwinSpires segment as we evolve our strategy to integrate the United Tote offering with TwinSpires Horse Racing, which we believe will create additional business to business revenue opportunities. Results of our United Tote business were previously included in our All Other segment. The prior year results were reclassified to conform to this presentation.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P2E Acquisition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2022, the Company entered into a definitive purchase agreement to acquire substantially all of the assets of Peninsula Pacific Entertainment LLC ("P2E") for total consideration of $2.485 billion (the "P2E Purchase Agreement") (collectively, the "P2E Transaction"). The P2E Purchase Agreement contemplates the acquisition by the Company of the following properties: Colonial Downs Racetrack in New Kent, Virginia ("Colonial Downs"), six historical racing entertainment venues across Virginia, del Lago Resort &amp; Casino ("del Lago") in Waterloo, New York, and the operations of Hard Rock Hotel &amp; Casino in Sioux City, Iowa (“Hard Rock Sioux City”).</w:t>
      </w:r>
    </w:p>
    <w:p>
      <w:pPr>
        <w:spacing w:after="0" w:line="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obtained the acquisition of ownership interest approval for the Virginia properties from the Virginia Racing Commission. The P2E Transaction remains dependent on customary closing conditions, including the Company obtaining approvals from the New York State Gaming Commission and the Iowa Racing and Gaming Commission. The transaction is expected to close before the end of 2022.</w:t>
      </w:r>
    </w:p>
    <w:p>
      <w:pPr>
        <w:spacing w:after="0" w:line="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Either the Company or P2E may terminate the P2E Purchase Agreement if the closing has not occurred prior to the date that is nine months after signing the P2E Purchase Agreement (such date being November 18, 2022), subject to the ability of either party to elect to extend such date for an additional four months in certain circumstances. If certain required regulatory approvals are not obtained and the P2E Purchase Agreement is terminated, the Company may have to pay a Regulatory Termination Fee of up to $137.5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2022 Financing Transactions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13, 2022, the Company announced an amendment of its senior secured credit agreement (the “Fourth Amendment”) to extend the maturity date of its existing revolving credit facility to 2027 and to increase the commitments under the existing revolving credit facility from $700.0 million to $1.2 billion. The Fourth Amendment also provides for a senior secured delayed draw term loan A credit facility due 2027 in the amount of $800.0 million (the “Delayed Draw Term Loan A”). The interest rate applicable to borrowings on the Revolver and Delayed Draw Term Loan A will be SOFR-based plus a spread, determined by the Company's total net leverage ratio. The Company also closed into escrow an offering of $1.2 billion in aggregate principal amount of 5.75% senior notes due 2030.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Calder Land Sale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2022, the Company closed on the previously announced sale of 115.7 acres of excess land near Calder Casino for $291.0 million (or approximately $2.5 million per acre) to Link Logistics, a Blackstone portfolio company. The Company received cash proceeds of $279.0 million, which was net of $12.0 million of transaction costs. The Company is planning on using certain proceeds of the sale to purchase property as part of the previously announced P2E Transaction and to invest in other replacement properties that qualify as Internal Revenue Code §1031 transactions.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retained ownership of approximately 54 acres of land on which the Company's wholly-owned Calder Casino sits. The Company may sell 15-20 acres of land in the future for retail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Chasers Poker Room Acquisition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22, 2022, the Company entered into a definitive purchase agreement to acquire Chasers Poker Room ("Chasers") in Salem, New Hampshire. Chasers is a charitable gaming facility located approximately 30 miles from Boston,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that offers poker and a variety of table games. Following the closing of the acquisition, the Company plans to develop an expanded charitable gaming facility in Salem to accommodate historical racing machines. The Company expects the total investment in Salem, inclusive of the Chasers purchase price to be approximately $150.0 million. The transaction is expected to close in the third quarter of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global pandemic. The COVID-19 global pandemic has resulted in travel limitations and business and government shutdowns which have had significant negative economic impacts in the United States and in relation to our business. Although vaccines are now available, we cannot predict the duration of the COVID-19 global pandemic. The extent to which the COVID-19 pandemic, including the emergence of variant strains, will continue to impact the Company remains uncertain and will depend on many factors that are not within our control. We will continue to monitor for new developments related to the pandemic and assess these developments to maintain continuity in our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24, 2022, the Company announced its plans to exit the direct online sports and casino business and pursue monetization of its online market access licenses. During the quarter ended March 31, 2022, the Company evaluated whether this planned exit would indicate it is more likely than not that any of the Company’s intangible assets, long-lived assets, current assets or property and equipment, were impaired (“Trigger Event”). Based on the Company’s evaluation, the Company concluded that a Trigger Event occurred related to certain TwinSpires assets. As a result, the Company recorded a $4.9 million non-cash impairment charge related to certain assets in the TwinSpires segment.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Indicators to Evaluate Business Results and Financial Condition</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defined as earnings before interest, taxes, depreciation and amortization, adjusted for the following: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includes our portion of EBITDA from our equity investments.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excludes:</w:t>
      </w:r>
    </w:p>
    <w:p>
      <w:pPr>
        <w:spacing w:after="0" w:line="63"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which includes:</w:t>
      </w:r>
    </w:p>
    <w:p>
      <w:pPr>
        <w:spacing w:after="0" w:line="6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disposition, and land sale related charges;</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online Sports and Casino business costs; and</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transaction expense, including legal, accounting, and other deal-related expense;</w:t>
      </w:r>
    </w:p>
    <w:p>
      <w:pPr>
        <w:spacing w:after="0" w:line="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 Des Plaines' impact on our investments in unconsolidated affiliates from:</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impact of changes in fair value of interest rate swaps; and</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Legal reserves and transaction costs;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Calder land sale;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reserves;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recoveries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308610</wp:posOffset>
            </wp:positionV>
            <wp:extent cx="70980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Arlington ceased racing and simulcast operations given the pending sale of the property to the Chicago Bears. Arlington's operating loss in the current quarter and year is treated as an adjustment to EBITDA and is included in Other expenses, net in the Reconciliation of Comprehensive Income to Adjusted EBITDA.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segment reporting, Adjusted EBITDA includes intercompany revenue and expense totals that are eliminated in the accompanying Condensed Consolidated Statements of Comprehensive Income. Refer to the Reconciliation of Comprehensive Income to Adjusted EBITDA included in this section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and Legislative Changes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various federal, state and international laws and regulations that affect our businesses. The ownership, operation and management of our Live and Historical Racing, TwinSpires,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2021, including Part I - Item 1, "Business" for a discussion of regulatory and legislative changes.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State Gaming Regulations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Maine Legislature passed a sports betting bill effective August 8, 2022 which allows Oxford Casino to offer sports betting at its facility. The four-year initial and annual renewal fee for a sports wagering license is $4,000 and the state tax on sports betting is 10% of gross sports wagering receipts.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Results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net revenue, operating income, net income, Adjusted EBITDA, and certain other financial information:</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Pr>
          <w:p>
            <w:pPr>
              <w:spacing w:after="0"/>
              <w:rPr>
                <w:sz w:val="20"/>
                <w:szCs w:val="20"/>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67" w:lineRule="exact"/>
        <w:rPr>
          <w:sz w:val="20"/>
          <w:szCs w:val="20"/>
          <w:color w:val="auto"/>
        </w:rPr>
      </w:pP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revenue increased $67.4 million due to a $85.0 million increase from Live and Historical Racing primarily driven by Churchill Downs Racetrack running of the Kentucky Derby in 2022 without capacity restrictions that were in place in 2021. Partially offsetting this increase was a $11.9 million decrease in All Other primarily driven by the cessation of racing and simulcast operations at Arlington at the end of 2021, a $4.0 million decrease from TwinSpires driven by the decision to exit the direct online sports and casino business in the first quarter of 2022 and from horse racing as a higher portion of our patrons returned to wagering at brick-and-mortar facilities in the current quarter instead of wagering online, and a $1.7 million decrease in Gaming revenue primarily driven by the current economic conditions and competitive pressures in Mississippi and Louisiana and a mask mandate at our Harlow's property in Mississippi that was discontinued in early June 2022.</w:t>
      </w:r>
    </w:p>
    <w:p>
      <w:pPr>
        <w:spacing w:after="0" w:line="8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increased $64.3 million due to a $63.9 million increase from Live and Historical Racing primarily due to an increase in net revenue, a $7.9 million increase from TwinSpires primarily due to decreased online marketing and promotions expense, and a $11.2 million decrease in asset impairment expense related to the 2021 revised capital plans associated with the Churchill Downs Racetrack first turn project. Partially offsetting these increases are a $9.5 million decrease in Gaming primarily driven by decline in net revenue and an increase in marketing and salaries expense, a $3.0 million decrease in All Other as a result of Arlington not conducting live racing and ceasing simulcasting at the end of 2021, and a $6.2 million increase in Corporate expenses and transaction and legal costs.</w:t>
      </w:r>
    </w:p>
    <w:p>
      <w:pPr>
        <w:spacing w:after="0" w:line="79"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income increased $231.0 million. The following items impacted comparability of the Company's second quarter of 2022 net income compared to the prior year's second quarter: a $193.6 million after tax gain on the sale of Calder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an $8.1 million after-tax charge related to the 2021 asset impairment at Churchill Downs Racetrack that did not recur in 2022, a $4.7 million after tax decrease in Rivers Des Plaines' legal reserves and transaction costs, and a $0.3 million after tax benefit related to our equity portion of the non-cash change in the fair value of Rivers Des Plaines' interest rate swaps. Offsetting these increases in net income were a $2.8 million after-tax increase in expenses related to transaction, pre-opening and other expenses, net, and a $2.3 million after-tax increase in legal reserves. Excluding these items, net income increased $29.4 million primarily due to a $38.6 million after-tax increase driven by the results of our operations and equity in income from our unconsolidated affiliates, partially offset by a $9.2 million after-tax increase in interest expense associated with higher outstanding debt balances.</w:t>
      </w:r>
    </w:p>
    <w:p>
      <w:pPr>
        <w:spacing w:after="0" w:line="81" w:lineRule="exact"/>
        <w:rPr>
          <w:sz w:val="20"/>
          <w:szCs w:val="20"/>
          <w:color w:val="auto"/>
        </w:rPr>
      </w:pPr>
    </w:p>
    <w:p>
      <w:pPr>
        <w:jc w:val="both"/>
        <w:ind w:left="660" w:hanging="328"/>
        <w:spacing w:after="0" w:line="256"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Adjusted EBITDA increased $57.9 million driven by a $65.5 million increase from Live and Historical Racing primarily due to Churchill Downs Racetrack running of the Kentucky Derby in 2022 without capacity restrictions that were in place in 2021 and a $9.3 million increase from TwinSpires primarily due from Sports and Casino business decreased marketing and promotions expense. Partially offsetting these increases was a $13.0 million decrease from Gaming primarily due to the current economic conditions and increased marketing and salaries expense and a $3.9 million decrease from All Other driven by Arlington not conducting live racing in the second quarter of 2022 and an increase in Corporate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67" w:lineRule="exact"/>
        <w:rPr>
          <w:sz w:val="20"/>
          <w:szCs w:val="20"/>
          <w:color w:val="auto"/>
        </w:rPr>
      </w:pP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revenue increased $107.2 million due to a $107.8 million increase from Live and Historical Racing driven by Churchill Downs Racetrack running of the Kentucky Derby in 2022 without capacity restrictions that were in place in 2021 and a $23.6 million increase from Gaming primarily due to increases at Oxford, Calder, and Presque Isle as a result of capacity restrictions during the first half of 2021. Partially offsetting this increase was a $17.0 million decrease in All Other primarily driven by the cessation of racing and simulcast operations at Arlington at the end of 2021 and a $7.2 million decrease from TwinSpires driven by the decision to exit the direct online sports and casino business in the first quarter of 2022 and from horse racing as a higher portion of our patrons returned to wagering at brick-and-mortar facilities instead of wagering online in the current year.</w:t>
      </w:r>
    </w:p>
    <w:p>
      <w:pPr>
        <w:spacing w:after="0" w:line="8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increased $65.0 million due to a $73.7 million increase from Live and Historical Racing driven by the increase in net revenue, a $7.3 million increase from TwinSpires primarily due to decreased online marketing and promotions expense, and a net reduction in asset impairments of $6.3 million as non-cash impairment charges recorded in 2021 for certain first turn assets at Churchill Downs Racetrack were greater than the non-cash impairment charge recorded in the first quarter of 2022 as a result of our announcement to exit the direct online sports and casino business. Offsetting these increases was a $6.1 million increase in transaction expense related to the P2E Transaction, a $3.1 million decrease in Gaming primarily driven by decline in net revenue attributable to current economic conditions and an increase in marketing and salaries expense, a $2.4 million decrease in All Other driven by Arlington not conducting live racing in the second quarter of 2022, and a $10.7 million increase in selling, general and administrative expenses due to an increase in employee benefits as well as an increase in legal fees and reserves.</w:t>
      </w:r>
    </w:p>
    <w:p>
      <w:pPr>
        <w:spacing w:after="0" w:line="8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3"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income increased $237.0 million. The following items impacted comparability of the Company's net income from continuing operations during the six months ended June 30, 2022 compared to the prior year period: a $193.6 million after tax gain on the sale of Calder assets, a net reduction in after tax impairment charges of $4.5 million as impairment charges recorded in 2021 for certain first turn assets at Churchill Downs Racetrack were greater than the impairment charge recorded in the first quarter of 2022 as a result of our announcement to exit the direct online sports and casino business, a $5.4 million after tax decrease in expense relate to Rivers Des Plaines' legal reserves and transaction costs, and a $4.7 million after tax benefit related to our equity portion of the non-cash change in the fair value of Rivers Des Plaines' interest rate swaps. Offsetting these increases in net income were a $9.1 million after-tax increase in expenses related to transaction, pre-opening and other expenses, net, a $2.3 million after-tax increase in legal reserves, and $0.7 million of other charges. Excluding these items, net income increased $40.9 million primarily due to a $51.6 million after-tax increase driven by the results of our operations and equity in income from our unconsolidated affiliates, partially offset by a $10.7 million after-tax increase in interest expense associated with higher outstanding debt balances.</w:t>
      </w:r>
    </w:p>
    <w:p>
      <w:pPr>
        <w:spacing w:after="0" w:line="8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Adjusted EBITDA increased $75.8 million driven by a $75.1 million increase from Live and Historical Racing primarily due to Churchill Downs Racetrack running of the Kentucky Derby in 2022 without capacity restrictions that were in place in 2021 and a $10.3 million increase from TwinSpires primarily due from Sports and Casino business decreased online marketing and promotions expense. Partially offsetting these increases was a $5.3 million decrease from All Other driven by Arlington not conducting live racing or simulcast operations during 2022 and an increase in Corporate expenses and a $4.3 million decrease in Gaming primarily driven by increases in marketing and salaries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316865</wp:posOffset>
            </wp:positionV>
            <wp:extent cx="70980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Financial Results by Segment</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4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Revenue by Segment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4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presents net revenue for our segments, including intercompany revenue: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7"/>
        </w:trPr>
        <w:tc>
          <w:tcPr>
            <w:tcW w:w="2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2"/>
                <w:szCs w:val="22"/>
                <w:color w:val="auto"/>
              </w:rPr>
            </w:pPr>
          </w:p>
        </w:tc>
        <w:tc>
          <w:tcPr>
            <w:tcW w:w="3540" w:type="dxa"/>
            <w:vAlign w:val="bottom"/>
            <w:gridSpan w:val="7"/>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35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Live and Historical Racing:</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Derby City Gaming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Oak Grove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Newport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Turfway Park</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3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Live and Historical Racing</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TwinSpires: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Horse Racing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Sports and Casino</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3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TwinSpires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Fair Grounds and VSI</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Presque Isle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Calder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Downs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Oxford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Riverwalk</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Harlow's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Lady Luck Nemacolin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8"/>
        </w:trPr>
        <w:tc>
          <w:tcPr>
            <w:tcW w:w="3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Gaming</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1"/>
        </w:trPr>
        <w:tc>
          <w:tcPr>
            <w:tcW w:w="2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67" w:lineRule="exact"/>
        <w:rPr>
          <w:sz w:val="20"/>
          <w:szCs w:val="20"/>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Live and Historical Racing revenue increased $85.4 million primarily due to an $69.3 million increase at Churchill Downs Racetrack due to the running of the Kentucky Derby in 2022 without capacity restrictions that were in place in 2021, an $8.5 million increase from Oak Grove, a $4.3 million increase at Derby City Gaming, a $2.9 million increase from Newport and a $0.4 million increase at Turfway Park. The HRM properties benefited from the elimination of the capacity restrictions that were in place during the second quarter of 2021 and overall continued growth in the businesses.</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TwinSpires revenue decreased $4.1 million from the prior year quarter due to a decrease of $2.2 million from Sports and Casino and a $1.9 million decrease from Horse Racing. The decrease in Sports and Casino was driven by the decision to exit the direct online sports and casino business in the first quarter of 2022. Horse Racing net revenue decreased as a higher portion of our patrons returned to wagering at brick-and-mortar facilities instead of wagering online in the current quarter compared to the prior year quarter.</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Gaming revenue decreased $1.5 million primarily due to a decrease of $4.6 million at Harlow's and a $4.4 million decrease at Riverwalk as a result of current economic conditions, competitive pressures, and a mask mandate at Harlow's that was discontinued in early June 2022. These decreases were partially offset by a $4.8 million increase at Oxford due to certain restrictions during the prior year quarter, a $2.1 million increase at Fair Grounds from the 2022 Jazz Festival that more than offset the decline in Fair Grounds Slots revenue due to current economic conditions and the ongoing closure of our Houma OTB, and a $0.6 million net increase in all other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316865</wp:posOffset>
            </wp:positionV>
            <wp:extent cx="7098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3" w:name="page34"/>
    <w:bookmarkEnd w:id="33"/>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revenue decreased $14.3 million primarily as a result of Arlington ceasing racing and simulcast operations at the end of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121" w:lineRule="exact"/>
        <w:rPr>
          <w:sz w:val="20"/>
          <w:szCs w:val="20"/>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Live and Historical Racing revenue increased $107.9 million primarily due to a $69.2 million increase at Churchill Downs Racetrack primarily due to the running of the Kentucky Derby in 2022 without capacity restrictions that were in place in 2021, a $19.5 million increase at Oak Grove, a $14.2 million increase from Derby City Gaming, a $4.8 million increase from Newport, and a $0.2 million increase from Turfway Park. The increase at our HRM properties reflected the benefit of the elimination of the operating restrictions that were in place during the first half of 2021 and overall continued growth in the businesses.</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TwinSpires revenue decreased $7.7 million from the prior year quarter primarily due to a $8.8 million decrease from Horse Racing that was partially offset by a $1.1 million increase from Sports and Casino. Horse Racing net revenue decreased as a higher portion of our patrons returned to wagering at brick-and-mortar facilities instead of wagering online in the current year compared to the prior year. Sports and Casino net revenue increased as a result of higher hold rates.</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Gaming revenue increased $23.7 million primarily due to increases at Oxford, Calder, and Presque Isle as a result of certain capacity restrictions during the first half of the prior year and at Fair Grounds as a result of the 2022 Jazz Festival that was not held in the prior year due to COVID-19. These increases were offset by decreases primarily at Harlow's and Riverwalk driven by the current economic conditions, competitive pressures, and a mask mandate at Harlow's that was discontinued in early June 2022.</w:t>
      </w:r>
    </w:p>
    <w:p>
      <w:pPr>
        <w:spacing w:after="0" w:line="7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revenue decreased $21.0 million primarily as a result of Arlington ceasing racing and simulcast operations at the end of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Expense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consolidated operating expense:</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3540" w:type="dxa"/>
            <w:vAlign w:val="bottom"/>
            <w:gridSpan w:val="7"/>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Taxes and purses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 net</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affecting comparability of consolidated operating expense include:</w:t>
      </w:r>
    </w:p>
    <w:p>
      <w:pPr>
        <w:spacing w:after="0" w:line="6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Taxes and purses increased $2.1 million primarily driven by the increase in net revenue at our HRM properties.</w:t>
      </w:r>
    </w:p>
    <w:p>
      <w:pPr>
        <w:spacing w:after="0" w:line="117"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Content expense increased $0.9 million primarily due to an increase in online simulcast host fees in the TwinSpires Horse Racing business.</w:t>
      </w:r>
    </w:p>
    <w:p>
      <w:pPr>
        <w:spacing w:after="0" w:line="117"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expense increased $4.7 million driven primarily by the running of the Kentucky Derby in 2022 at full capacity and the capacity restrictions at our gaming properties in the prior year quarter.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increased $5.0 million driven primarily from an increase in employee benefits as well as an increase in legal fees and reserves.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Marketing and advertising expense decreased $8.8 million primarily due to decreased online marketing by our TwinSpires Sports and Casino business due to the decision to exit the direct online sports and casino business.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decrease was partially offset by increased marketing spend at the properties in our Live and Historical racing segment.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increased $1.2 million primarily due to increased legal and professional expenses related to the P2E Transaction.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decreased $11.2 million due to a 2021 non-cash impairment charge related to a change in the Company's planned usage of certain first turn assets at Churchill Downs Racetrack.</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operating expenses include maintenance, utilities, food and beverage costs, property taxes, insurance, and other operating expenses. Other operating expense increased $9.1 million primarily driven by the running of the Kentucky Derby at full capacity in 2022, costs associated with the 2022 Jazz Festival held at Fair Grounds, and increases in food and beverage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affecting comparability of consolidated operating expense include:</w:t>
      </w:r>
    </w:p>
    <w:p>
      <w:pPr>
        <w:spacing w:after="0" w:line="6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Taxes and purses increased $14.8 million primarily driven by the increase in net revenue by our wholly-owned gaming and HRM properties.</w:t>
      </w:r>
    </w:p>
    <w:p>
      <w:pPr>
        <w:spacing w:after="0" w:line="117"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Content expense decreased $0.9 million primarily due to a decrease in online simulcast host fees in the TwinSpires Horse Racing business.</w:t>
      </w:r>
    </w:p>
    <w:p>
      <w:pPr>
        <w:spacing w:after="0" w:line="117"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Salaries and benefits expense increased $9.8 million driven by the running of the Kentucky Derby at full capacity in 2022 and the capacity restrictions at our gaming properties in the prior year.</w:t>
      </w:r>
    </w:p>
    <w:p>
      <w:pPr>
        <w:spacing w:after="0" w:line="53"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increased $10.7 million driven primarily from an increase in employee benefits as well as an increase in legal fees and reserves.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decreased $0.8 million primarily driven by the assets held for sale at Arlington.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Marketing and advertising expense decreased $9.4 million primarily due to decreased online marketing by our TwinSpires Sports and Casino business due to the decision to exit the direct online sports and casino business. This decrease was partially offset by increased marketing spend at our Gaming and Live and Historical racing properties.</w:t>
      </w:r>
    </w:p>
    <w:p>
      <w:pPr>
        <w:spacing w:after="0" w:line="67"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increased $6.1 million primarily due to increased legal and professional expenses related to the P2E Transaction.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decreased $6.3 million due to $11.2 million non-cash impairment charge related to a change in the Company's planned usage of certain first turn assets at Churchill Downs Racetrack recognized during the second quarter of 2021 that did not recur. This charge was partially offset by a non-cash impairment charge of $4.9 million related to the Company's plan to exit the direct online sports and casino business that was recorded in the first quarter of 2022.</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operating expenses include maintenance, utilities, food and beverage costs, property taxes, insurance, and other operating expenses. Other operating expense increased $18.2 million primarily driven by increases in property insurance, food and beverage costs, the running of the Kentucky Derby at full capacity in 2022, and the 2022 Jazz Festival held at Fair 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354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TwinSpires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(4.3)</w:t>
            </w:r>
          </w:p>
        </w:tc>
      </w:tr>
      <w:tr>
        <w:trPr>
          <w:trHeight w:val="218"/>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81.1</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75.8</w:t>
            </w:r>
          </w:p>
        </w:tc>
      </w:tr>
      <w:tr>
        <w:trPr>
          <w:trHeight w:val="21"/>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67"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Live and Historical Racing Adjusted EBITDA increased $65.5 million due to a $58.5 million increase at Churchill Downs Racetrack driven by the running of the Kentucky Derby in 2022 without capacity restrictions that were in place in 2021, a $4.0 million increase at Oak Grove, a $1.7 million increase at Derby City Gaming, and a $1.3 million increase at Newport driven by increases in net revenue.</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TwinSpires Adjusted EBITDA increased $9.3 million primarily due to a $10.8 million increase from our Sports and Casino business due to decreased online marketing and promotional activities. This increase was offset by a $1.2 million decrease from Horse Racing due to a reduction in net revenue and a $0.3 million decrease from United Tote.</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Adjusted EBITDA decreased $13.0 million driven by a $10.2 million decrease at our wholly-owned Gaming properties and a $2.8 million decrease from our equity investments. The decreases at our wholly-owned Gaming properties are the result of decreased revenue and increases in marketing and salaries expense. The decrease in our equity investments is also driven by increased marketing and salaries expense.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Adjusted EBITDA decreased $3.9 million driven primarily by a $3.1 million decrease as a result of Arlington not conducting live racing in the second quarter of 2022 as we ceased racing and simulcast operations at the end of 2021. We are excluding Arlington's operating results from Adjusted EBITDA in 2022 pending the sale of the property to the Chicago Bears. Corporate expense increased $0.8 million as a result of increased legal fees and charitable donations.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121"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Live and Historical Racing Adjusted EBITDA increased $75.1 million due to a $57.3 million increase at Churchill Down Racetrack driven by running the Kentucky Derby in 2022 without capacity restrictions that were in place in 2021, a $9.3 million increase at Oak Grove, a $6.9 increase at Derby City Gaming, and a $2.1 million increase at Newport driven by increases in net revenue. These were partially offset by a decrease at Turfway of $0.5 million.</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TwinSpires Adjusted EBITDA increased $10.3 million primarily due to a $14.5 million increase from our Sports and Casino business due to decreased marketing and promotional activities and a $0.4 million increase at United Tote. Partially offsetting these increases was a decrease from Horse Racing of $4.6 million due to the reduction in net revenue.</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Gaming Adjusted EBITDA decreased $4.3 million driven by a $4.5 million decrease at our wholly-owned Gaming properties that was partially offset by a $0.2 million increase from our equity investments. The decreases at our wholly owned Gaming properties are primarily driven by increases in marketing and salaries expense. The increase in our equity investments is driven by capacity restrictions the prior year that are no longer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245745</wp:posOffset>
            </wp:positionV>
            <wp:extent cx="7098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Adjusted EBITDA decreased $5.3 million driven by a $3.4 million increase in Corporate expenses, primarily legal fees and charitable donations and a $1.9 million decrease from Arlington as we ceased racing and simulcast operations at the end of 2021. We are excluding Arlington's operating results from Adjusted EBITDA in 2022 pending the sale of the property to the Chicago Bears.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Reconciliation of Comprehensive Income to Adjusted EBITDA</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7"/>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12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Adjustments to EBITDA:</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35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0.3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reserves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expense,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Interest, depreciation and amortization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expense related to equity investments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Changes in fair value of Rivers Des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Plaines' interest rate swaps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0"/>
        </w:trPr>
        <w:tc>
          <w:tcPr>
            <w:tcW w:w="356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Rivers Des Plaines' legal reserves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transactions costs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3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charges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Calder land sale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23"/>
        </w:trPr>
        <w:tc>
          <w:tcPr>
            <w:tcW w:w="3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adjustments to EBITDA</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is a summary of our overall financial position:</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100" w:type="dxa"/>
            <w:vAlign w:val="bottom"/>
          </w:tcPr>
          <w:p>
            <w:pPr>
              <w:spacing w:after="0"/>
              <w:rPr>
                <w:sz w:val="18"/>
                <w:szCs w:val="18"/>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306.8</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affecting the comparability of our condensed consolidated balance sheets include:</w:t>
      </w:r>
    </w:p>
    <w:p>
      <w:pPr>
        <w:spacing w:after="0" w:line="117" w:lineRule="exact"/>
        <w:rPr>
          <w:sz w:val="20"/>
          <w:szCs w:val="20"/>
          <w:color w:val="auto"/>
        </w:rPr>
      </w:pPr>
    </w:p>
    <w:p>
      <w:pPr>
        <w:jc w:val="both"/>
        <w:ind w:left="6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increased $1,638.0 million driven by a $1,525.0 million increase in restricted cash driven by cash proceeds received for the closing of the 2030 Senior Notes into escrow and the Calder land sale, $135.2 million increase in property and equipment driven by capital expenditures at Churchill Downs Racetrack, Turfway Park, and Derby City Gaming, a $23.2 million increase in accounts receivable driven by simulcast and other pari-mutuel wagering activity, and a $20.6 million increase in all other assets. Partially offsetting these increases was a $66.0 million decrease in income tax receivable driven primarily by the current year income tax provision and a refund received from the 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325120</wp:posOffset>
            </wp:positionV>
            <wp:extent cx="7098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ind w:left="660" w:hanging="328"/>
        <w:spacing w:after="0" w:line="25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increased $1,341.9 million primarily driven by a $1,196.1 million increase in notes payable, net of debt issuance costs, related to the closing of the 2030 Senior Notes into escrow, an $86.7 million increase in income tax payable primarily driven by the tax gain on the Calder land sale, a $57.5 million increase in accounts payable primarily due to timing of racing related payments, a $20.4 million increase in deferred income tax due to our current year income tax provision, an $18.4 million increase in advance deposit wagering accounts, a $14.9 million increase in accrued interest due to higher outstanding debt balances and a $10.3 million increase in purses payable due to our spring and summer race meets. Partially offsetting these increases was a $35.6 million decrease in current deferred revenue related to recognition of advanced sales for the 2022 Kentucky Derby, a $26.1 million decrease in dividends payable due to the payment of our annual dividends, and a $0.7 decrease in all other liabilities.</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increased $296.1 million driven by a $381.4 million increase from current year net income and $14.4 million from stock-based compensation. Partially offsetting this increase were $86.5 million in repurchases of common stock and $13.2 million in taxes paid related to net share settlement of stock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liquidity and cash flows: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420" w:type="dxa"/>
            <w:vAlign w:val="bottom"/>
            <w:tcBorders>
              <w:bottom w:val="single" w:sz="8" w:color="auto"/>
            </w:tcBorders>
          </w:tcPr>
          <w:p>
            <w:pPr>
              <w:spacing w:after="0"/>
              <w:rPr>
                <w:sz w:val="20"/>
                <w:szCs w:val="20"/>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334.3</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34"/>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the Six Months Ended June 30, 2021</w:t>
      </w:r>
    </w:p>
    <w:p>
      <w:pPr>
        <w:spacing w:after="0" w:line="67" w:lineRule="exact"/>
        <w:rPr>
          <w:sz w:val="20"/>
          <w:szCs w:val="20"/>
          <w:color w:val="auto"/>
        </w:r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increased $46.5 million driven by a $65.0 million increase in operating income, a $30.4 million increase in distributions from unconsolidated affiliates, and a $32.9 million tax refund related to the 2020 tax return loss. Partially offsetting these increases was a $25.3 million decrease in deferred revenue primarily due to the recognition of advanced sales for the 2022 Kentucky Derby and a $56.5 million decrease in all other operating activities. We anticipate that cash flows from operations over the next twelve months will be adequate to fund our business operations and capital expenditures.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used in investing activities increased $135.1 million driven by the $279.0 million increase from proceeds from the Calder land sale. This increase was offset by a $128.2 million increase in capital project expenditures primarily at Churchill Downs Racetrack and Turfway Park, a $9.3 million increase in capital maintenance expenditures and a $6.4 million increase from all other investing activities.</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provided by financing activities increased $947.9 million primarily driven by a $843.1 million increase in net borrowings from long-term debt and a $109.4 million decrease in common stock repurchases. Partially offsetting this increase was a $4.6 million decrease from all other financing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cash flows from investing activities are capital maintenance expenditures and capital project expenditures. Capital maintenance expenditures relate to the replacement of existing fixed assets with a useful life greater than one year that are obsolete, exhausted, or no longer cost effective to repair. Capital project expenditures represent fixed asset additions related to land or building improvements to new or existing assets or purchases of new (non-replacement) equipment or software related to specific projects deemed necessary expenditures.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announced several project capital investments during the past year, including the following: Churchill Downs Racetrack Homestretch Club and the Turn I Experience, Derby City Gaming Expansion and Hotel, Derby City Gaming Downtown, Turfway Park HRM Facility and Grandstand, the Queen of Terre Haute Casino Resort, and Louisiana HRMs. We currently estimate that we will spend between $300.0 million and $350.0 million for project capital in 2022, although this amount may vary significantly based on the timing of work completed, unanticipated delays, and timing of payments to third parties.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2021, the Board of Directors of the Company approved a common stock repurchase program of up to $500.0 million (“2021 Stock Repurchase Program”). The 2021 Stock Repurchase Program includes and is not in addition to the unspent amount remaining under the prior 2018 Stock Repurchase Program authorization. Repurchases may be made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discretion from time to time on the open market (either with or without a 10b5-1 plan) or through privately negotiated transactions. The repurchase program has no time limit and may be suspended or discontinued at any time. We have approximately $359.1 million of repurchase authority remaining under the 2021 Stock Repurchase Program at June 30, 2022, based on trade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Indebtedness</w:t>
      </w:r>
    </w:p>
    <w:p>
      <w:pPr>
        <w:sectPr>
          <w:pgSz w:w="11900" w:h="16838" w:orient="portrait"/>
          <w:cols w:equalWidth="0" w:num="1">
            <w:col w:w="11240"/>
          </w:cols>
          <w:pgMar w:left="320" w:top="1201" w:right="3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debt outstanding:</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Revolver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Delayed Draw Term Loan A due 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 B due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 B-1 due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 Senior Notes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 Senior Notes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2030 Senior Notes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debt</w:t>
      </w:r>
    </w:p>
    <w:p>
      <w:pPr>
        <w:spacing w:after="0" w:line="27" w:lineRule="exact"/>
        <w:rPr>
          <w:sz w:val="20"/>
          <w:szCs w:val="20"/>
          <w:color w:val="auto"/>
        </w:rPr>
      </w:pPr>
    </w:p>
    <w:p>
      <w:pPr>
        <w:ind w:left="20" w:right="1540" w:firstLine="121"/>
        <w:spacing w:after="0" w:line="290" w:lineRule="auto"/>
        <w:rPr>
          <w:sz w:val="20"/>
          <w:szCs w:val="20"/>
          <w:color w:val="auto"/>
        </w:rPr>
      </w:pPr>
      <w:r>
        <w:rPr>
          <w:rFonts w:ascii="Times New Roman" w:cs="Times New Roman" w:eastAsia="Times New Roman" w:hAnsi="Times New Roman"/>
          <w:sz w:val="17"/>
          <w:szCs w:val="17"/>
          <w:color w:val="auto"/>
        </w:rPr>
        <w:t>Current maturities of long-term debt Total debt, net of current maturities</w:t>
      </w:r>
    </w:p>
    <w:p>
      <w:pPr>
        <w:ind w:left="20" w:right="820" w:firstLine="121"/>
        <w:spacing w:after="0" w:line="339" w:lineRule="auto"/>
        <w:rPr>
          <w:sz w:val="20"/>
          <w:szCs w:val="20"/>
          <w:color w:val="auto"/>
        </w:rPr>
      </w:pPr>
      <w:r>
        <w:rPr>
          <w:rFonts w:ascii="Times New Roman" w:cs="Times New Roman" w:eastAsia="Times New Roman" w:hAnsi="Times New Roman"/>
          <w:sz w:val="18"/>
          <w:szCs w:val="18"/>
          <w:color w:val="auto"/>
        </w:rPr>
        <w:t>Issuance costs, net of premiums and discounts Net debt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20" w:type="dxa"/>
            <w:vAlign w:val="bottom"/>
          </w:tcPr>
          <w:p>
            <w:pPr>
              <w:spacing w:after="0"/>
              <w:rPr>
                <w:sz w:val="20"/>
                <w:szCs w:val="20"/>
                <w:color w:val="auto"/>
              </w:rPr>
            </w:pPr>
          </w:p>
        </w:tc>
        <w:tc>
          <w:tcPr>
            <w:tcW w:w="16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18"/>
        </w:trPr>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r>
      <w:tr>
        <w:trPr>
          <w:trHeight w:val="234"/>
        </w:trPr>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w:t>
            </w:r>
          </w:p>
        </w:tc>
      </w:tr>
      <w:tr>
        <w:trPr>
          <w:trHeight w:val="234"/>
        </w:trPr>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ectPr>
          <w:pgSz w:w="11900" w:h="16838" w:orient="portrait"/>
          <w:cols w:equalWidth="0" w:num="2">
            <w:col w:w="4300" w:space="720"/>
            <w:col w:w="6220"/>
          </w:cols>
          <w:pgMar w:left="320" w:top="120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27, 2017, we entered into a senior secured credit agreement (as amended, the "Credit Agreement") with a syndicate of lenders. The Credit Agreement provided for a $700.0 million senior secured revolving credit facility due 2024 (the "Revolver") and a $400.0 million senior secured Term Loan B due 2024 (the "Term Loan B"). Included in the maximum borrowing of $700.0 million under the Revolver was a letter of credit sub facility not to exceed $50.0 million and a swing line commitment up to a maximum principal amount of $50.0 million. The Credit Agreement is collateralized by substantially all of the wholly-owned assets of the Company.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2020, the Company entered into a Second Amendment to the Credit Agreement, which (i) provided for a financial covenant relief period through the date on which the Company delivered the Company's quarterly financial statements and compliance certificate for the fiscal quarter ended June 30, 2021, subject to certain exceptions (the "Financial Covenant Relief Period"), (ii) amended the definition of "Consolidated EBITDA" in the Credit Agreement with respect to the calculation of Consolidated EBITDA for the first two fiscal quarters after the termination of the Financial Covenant Relief Period, (iii) extended certain deadlines and makes certain other amendments to the Company’s financial reporting obligations, (iv) placed certain restrictions on restricted payments during the Financial Covenant Relief Period, and (v) amended the definitions of "Material Adverse Effect" and "License Revocation" in the Credit Agreement to take into consideration COVID-19.</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1, 2021, the Company entered into the Third Amendment to the Credit Agreement to increase the restricted payments capacity during the Financial Covenant Relief Period from $26.0 million to $226.0 million to accommodate a share repurchase from an affiliate of TDG. Refer to Note 9, Shareholders' Equity, of the Notes to the Condensed Consolidated Financial Statements for information regarding this transaction.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17, 2021, the Company entered into the Incremental Joinder Agreement No. 1 (the "Joinder") to its Credit Agreement which provided $300.0 million in New Term Loan Commitments ("Term Loan B-1") as a new tranche of term loans under the existing Credit Agreement (as conformed to recognize the new loan), and carries a maturity date of March 17, 2028. The Term Loan B-1 bears interest at LIBOR plus 200 basis points and requires quarterly payments of 0.25% of the original $300.0 million balance. The Term Loan B-1 may be subject to additional mandatory prepayment from excess cash flow on an annual basis per the provisions of the Credit Agreement. The Company capitalized $3.5 million of debt issuance costs associated with the Joinder which are being amortized as interest expense over the 7-year term of the Term Loan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319405</wp:posOffset>
            </wp:positionV>
            <wp:extent cx="7098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On April 13, 2022, the Company entered into the Fourth Amendment to the Credit Agreement (the "Fourth Amendment") to extend the maturity date of its existing revolving credit facility to April 13, 2027, to increase the commitments under the existing revolving credit facility from $700.0 million to $1.2 billion, and to increase the swing line commitment from $50.0 million to $100.0 million. The Fourth Amendment also provides for a senior secured Delayed Draw Term Loan A credit facility due April 13, 2027 in the amount of $800.0 million which is part of the financing for the proposed acquisition by the Company of P2E. The Company capitalized $2.8 million of debt issuance costs associated with the Revolver commitment increase and $5.7 million of debt issuance costs associated with the Delayed Draw Term Loan A which are being amortized as interest expense over the 5-year term.</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Revolver and Delayed Draw Term Loan A bear interest at SOFR plus 10 basis points, plus a variable applicable margin which is determined by the Company's net leverage ratio. As of June 30, 2022, that applicable margin was 137.5 basis points which was based on the pricing grid in the Fourth Amendment to the Credit Agreement. The Term Loan B and Term Loan B-1 bear interest at LIBOR plus 200 basis points.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affirmative and negative covenants, which include limitations on liens, investments, indebtedness, dispositions, mergers and acquisitions, the making of restricted payments, changes in the nature of business, changes in fiscal year, and transactions with affiliates. The Credit Agreement also contains financial covenants providing for the maintenance of a maximum consolidated secured net leverage ratio and maintenance of a minimum consolidated interest coverage ratio.</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Actual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Requirement</w:t>
            </w:r>
          </w:p>
        </w:tc>
      </w:tr>
      <w:tr>
        <w:trPr>
          <w:trHeight w:val="21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coverage ratio</w:t>
            </w: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7.75 to 1.0</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 2.5 to 1.0</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 secured net leverage ratio</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.35 to 1.0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 4.0 to 1.0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compliant with all applicable covenants on June 30, 2022.</w:t>
      </w: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relation to the Revolver, the Company is required to pay a commitment fee on the unused portion of the Revolver determined by a pricing grid based on the consolidated total net leverage ratio of the Company. For the period ended June 30, 2022, the Company's commitment fee rate for the Revolver was 0.20%. Once drawn, the Delayed Draw Term Loan A requires quarterly payments of 1.25% of the original $800.0 million balance, or $10.0 million per quarter. The Company is required to pay an unused commitment fee for the period from and including the date that is sixty days after the Fourth Amendment up to the date funds are drawn. That fee is determined by a pricing grid based on the Company’s consolidated total net leverage ratio. For the period ended June 30, 2022, the Company's commitment fee rate for the Delayed Draw Term Loan A was 0.20%. The Term Loan B requires quarterly payments of 0.25% of the original $400.0 million balance, or $1.0 million per quarter. The Term Loan B may be subject to additional mandatory prepayment from excess cash flow on an annual basis per the provisions of the 2017 Credit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Notes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March 25, 2019, we completed an offering of $600.0 million in aggregate principal amount of 5.50% Senior Unsecured Notes that mature on April 1, 2027 (the "2027 Senior Notes") in a private offering to qualified institutional buyers pursuant to Rule 144A that is exempt from registration under the Securities Act of 1933, as amended (the "Securities Act"), and to certain non-U.S. persons in accordance with Regulation S under the Securities Act. The 2027 Senior Notes were issued at par, with interest payable on April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commencing on October 1, 2019. The Company used the net proceeds from the offering to repay our outstanding balance on the Revolver portion of our Credit Agreement. In connection with the offering, we capitalized $8.9 million of debt issuance costs which are being amortized as interest expense over the term of the 2027 Senior Notes.</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2027 Senior Notes were issued pursuant to an indenture, dated March 25, 2019 (the "2027 Indenture"), among the Company, certain subsidiaries of the Company as guarantors (the "2027 Guarantors"), and U.S. Bank National Association, as trustee. The Company may redeem some or all of the 2027 Senior Notes at any time at redemption prices set forth in the 2027 Indenture. The terms of the 2027 Indenture, among other things, limit the ability of the Company to: (i) incur additional debt and issue preferred stock; (ii) pay dividends or make other restricted payments; (iii) make certain investments; (iv) create liens; (v) allow restrictions on the ability of certain of our subsidiaries to pay dividends or make other payments; (vi) sell assets; (vii) merge or consolidate with other entities; and (viii) enter into transactions with affiliates.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27, 2017, we completed an offering of $500.0 million in aggregate principal amount of 4.75% Senior Unsecured Notes that mature on January 15, 2028 (the "Existing 2028 Senior Notes") in a private offering to qualified institutional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both"/>
        <w:spacing w:after="0" w:line="241" w:lineRule="auto"/>
        <w:rPr>
          <w:sz w:val="20"/>
          <w:szCs w:val="20"/>
          <w:color w:val="auto"/>
        </w:rPr>
      </w:pPr>
      <w:r>
        <w:rPr>
          <w:rFonts w:ascii="Times New Roman" w:cs="Times New Roman" w:eastAsia="Times New Roman" w:hAnsi="Times New Roman"/>
          <w:sz w:val="18"/>
          <w:szCs w:val="18"/>
          <w:color w:val="auto"/>
        </w:rPr>
        <w:t>pursuant to Rule 144A that is exempt from registration under the Securities Act, and to certain non-U.S. persons in accordance with Regulation S under the Securities Act. The Existing 2028 Senior Notes were issued at par, with interest payable on January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commencing on July 15, 2018. The Company used the net proceeds from the offering to repay a portion of our $600.0 million 5.375% Senior Unsecured Notes. In connection with the offering, we capitalized $7.7 million of debt issuance costs which are being amortized as interest expense over the term of the Existing 2028 Senior Notes.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Existing 2028 Senior Notes were issued pursuant to an indenture, dated December 27, 2017 (the "2028 Indenture"), among the Company, certain subsidiaries of the Company as guarantors (the "2028 Guarantors"), and U.S. Bank National Association, as trustee. The Company may redeem some or all of the Existing 2028 Senior Notes at any time at redemption prices set forth in the 2028 Indenture. The terms of the 2028 Indenture, among other things, limit the ability of the Company to: (i) incur additional debt and issue preferred stock; (ii) pay dividends or make other restricted payments; (iii) make certain investments; (iv) create liens; (v) allow restrictions on the ability of certain of our subsidiaries to pay dividends or make other payments; (vi) sell assets; (vii) merge or consolidate with other entities; and (viii) enter into transactions with affiliates.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17, 2021, the Company completed an offering of $200.0 million in aggregate principal amount of 4.75% Senior Unsecured Notes that mature on January 15, 2028 (the "Additional 2028 Notes") in a private offering to qualified institutional buyers pursuant to Rule 144A that is exempt from registration under the Securities Act, and to certain non-U.S. persons in accordance with Regulation S under the Securities Act. The Additional 2028 Notes were offered under the indenture dated as of December 27, 2017, governing the Existing 2028 Senior Notes and form a part of the same series for purposes of the indenture. In connection with the offering, we capitalized $3.4 million of debt issuance costs which are being amortized as interest expense over the term of the Additional 2028 Notes. Upon completion of this offering, the aggregate principal amount outstanding of the Existing 2028 Notes, together with the Additional 2028 Notes (collectively the "2028 Senior Notes") is $700.0 million.</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Additional 2028 Notes were issued at 103.25% of the principal amount, plus interest deemed to have accrued from January 15, 2021, with interest payable on January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commencing on July 15, 2021. The 2028 Senior Notes will vote as one class under the indenture governing the 2028 Senior Notes. The 3.25% premium will be amortized through interest expense, net over the term of the Additional 2028 Notes.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net proceeds from the Additional 2028 Notes and the Term Loan B-1 (i) to repay indebtedness outstanding under our Revolving Credit Facility, (ii) to fund related transaction fees and expenses and (iii) for working capital and other general corporate purposes.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some or all of the Additional 2028 Notes at any time as set forth in the 2028 Offering Memorandum.</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Additional 2028 Notes, the Company and the 2028 Guarantors entered into a Registration Rights Agreement to register any 2028 Senior Notes under the Securities Act for resale that are not freely tradable 366 days from March 17,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Senior Notes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13, 2022, CDI Escrow Issuer, Inc. (the "Escrow Issuer"), a wholly owned subsidiary of the Company, completed an offering of $1.2 billion in aggregate principal amount of 5.750% Senior Unsecured Notes that mature on April 13, 2030 (the "2030 Notes") in a private offering to qualified institutional buyers pursuant to Rule 144A that is exempt from registration under the Securities Act, and to certain non-U.S. persons in accordance with Regulation S under the Securities Act. The offering of the Notes is part of the financing for the P2E acquisition. The proceeds of the offering were placed in escrow pending satisfaction of certain conditions, including, without limitation, the consummation of the P2E acquisition. In connection with the offering, we capitalized $4.7 million of debt issuance costs which are being amortized as interest expense over the term of the 2030 Senior Notes. Upon completion of this offering, the aggregate principal amount outstanding in escrow of the 2030 Notes is $1.2 billion. The cash held in escrow is invested in money market accounts and included in restricted cash in the Condensed Consolidated Balance Sheet.</w:t>
      </w:r>
    </w:p>
    <w:p>
      <w:pPr>
        <w:spacing w:after="0" w:line="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2030 Notes were issued at 100% of the principal amount, plus interest deemed to have accrued from April 13, 2022, with interest payable in arrears on April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commencing on October 1, 2022. The 2030 Senior Notes will vote as one class under the indenture governing the 2030 Senior Notes.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Escrow Issuer may redeem some or all of the 2030 Notes at any time prior to April 1, 2025, at redemption prices set forth in the 2030 Offering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2030 Notes, the Escrow Issuer and the 2030 Guarantors entered into a Registration Rights Agreement to register any 2030 Senior Notes under the Securities Act for resale that are not freely tradable 366 days from April 13,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commitments to make future payments as of June 30, 2022, are estimated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Term Loan A</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Term Loan 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Term Loan B</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33"/>
        </w:trPr>
        <w:tc>
          <w:tcPr>
            <w:tcW w:w="42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Interest on Term Loan B</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Term Loan B-1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r>
      <w:tr>
        <w:trPr>
          <w:trHeight w:val="233"/>
        </w:trPr>
        <w:tc>
          <w:tcPr>
            <w:tcW w:w="42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Interest on Term Loan B-1</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2027 Senior Notes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2028 Senior Notes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2030 Senior Notes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2027 Senior Notes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2028 Senior Notes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2030 Senior Notes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r>
      <w:tr>
        <w:trPr>
          <w:trHeight w:val="22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Finance Leases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8"/>
        </w:trPr>
        <w:tc>
          <w:tcPr>
            <w:tcW w:w="42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Minimum Guarantees</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5,173.9</w:t>
            </w:r>
          </w:p>
        </w:tc>
      </w:tr>
      <w:tr>
        <w:trPr>
          <w:trHeight w:val="21"/>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hanging="328"/>
        <w:spacing w:after="0" w:line="282" w:lineRule="auto"/>
        <w:tabs>
          <w:tab w:leader="none" w:pos="5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includes the estimated contractual payments under our Credit Agreement assuming no change in the weighted average borrowing rate of 3.67% which was the rate in place as of June 30, 2022.</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maximum estimated exposure where we are contractually obligated to make future minimum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had approximately $7.7 million of tax liabilities related to unrecognized tax benefits.</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arising from adverse changes in:</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credit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trends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gaming and wagering facilities, and online wagering sites and/or may impact our customers’ ability to wager with the same frequency and to maintain wagering levels.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credit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exposure to market risk relates to changes in interest rates. On June 30, 2022, we had $678.3 million outstanding under our Credit Agreement related to Term Loans B/B-1, which bear interest at LIBOR based variable rates. On June 30, 2022, we had $800.0 million committed under our Credit Agreement related to our Delayed Draw Term Loan A. The Term Loan A will bear interest at SOFR plus 10 basis points plus an applicable margin based on the Company's net leverage ratio once it is drawn. We are exposed to market risk on variable rate debt due to potential adverse changes in these rates. Assuming the outstanding balance of the Term Loans B/B-1 debt facility remains constant, a one-percentage point increase in the LIBOR rate would reduce net income and cash flows from operating activities by $4.8 million. LIBOR is anticipated to be phased out by the end of 2023. Assuming the Company was fully drawn on the Delayed Draw Term Loan A as of June 30, 2022, a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320040</wp:posOffset>
            </wp:positionV>
            <wp:extent cx="7098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percentage point increase in the SOFR rate would reduce net income and cash flows from operating activities by $5.7 million. The Fourth Amendment to the Credit Agreement establishes SOFR as an alternative rate (other than for the Term Loans B/B1, for which a general process for establishing an alternative reference rate is provided). The impact of the use of alternative reference rates is not expected to have a material impact on our exposure to interest rate risk at this time.</w:t>
      </w:r>
    </w:p>
    <w:p>
      <w:pPr>
        <w:spacing w:after="0" w:line="122"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that we file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June 30, 2022. Based upon the foregoing, our Chief Executive Officer and Chief Financial Officer concluded that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descriptions include updates since the filing of our Annual Report on Form 10-K for the year ended December 31, 2021, relating to the proceedings involving the Company. In addition to the matters described below, we are also involved in ordinary routine litigation matters which are incidental to our business. Refer to Note 16, Contingencies, to our Condensed Consolidated Financial Statements, for further information.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Lassiter v. Kentucky Downs, LLC, et al.</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2020, Robert and Patricia Lassiter filed a complaint against Kentucky Downs, LLC, Keeneland Association, Inc., Turfway Park, LLC, Players Bluegrass Downs, LLC, Appalachian Racing, LLC, Ellis Park Race Course, Inc., The Lexington Trots Breeders Association, Inc., and Churchill Downs Incorporated (“Defendants”). Plaintiffs allege that Defendants’ HRMs constitute illegal gambling and assert that they can recover for their losses and the losses of all patrons at those facilities with HRMs over a five-year period under Kentucky Revised Statutes 372.010. The Company filed a motion to dismiss on March 31, 2021. On August 30, 2021, plaintiffs filed a Chapter 13 Bankruptcy Petition with the Western District of Kentucky, and filed a notice of automatic stay in the matter pending against the Company. The Company’s motion to dismiss was remanded because of the automatic stay, which has ended. On February 9, 2022, the Company filed a motion for oral argument on the motions to dismiss. The court granted that motion and oral argument was scheduled for May 11, 2022. However, on May 9, 2022, the parties filed a joint stipulation of dismissal with prejudice.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Louisiana Horsemen's Purses Class Action Suit</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21, 2014, John L. Soileau and other individuals filed a Petition for Declaratory Judgment, Permanent Injunction, and Damages-Class Action styled John L. Soileau, et. al. versus Churchill Downs Louisiana Horseracing, LLC, Churchill Downs Louisiana Video Poker Company, LLC (Suit No. 14-3873) in the Parish of Orleans Civil District Court, State of Louisiana (the "District Court"). The petition defined the "alleged plaintiff class" as quarter horse owners, trainers and jockeys that have won purses at the "Fair Grounds Race Course &amp; Slots" facility in New Orleans, Louisiana ("Fair Grounds") since the first effective date of La. R.S. 27:438 and specifically since 2008. The petition alleged that Churchill Downs Louisiana Horseracing, LLC and Churchill Downs Louisiana Video Poker Company, LLC (collectively, the "Fair Grounds Defendants") have collected certain monies through video draw poker devices that constitute monies earned for purse supplements and all of those supplemental purse monies have been paid to thoroughbred horsemen during Fair Grounds’ live thoroughbred horse meets. La. R.S. 27:438 requires a portion of those supplemental purse monies to be paid to quarter-horse horsemen during Fair Grounds’ live quarter-horse meets. The petition requested that the District Court declare that Fair Grounds Defendants violated La. R.S. 27:438, issue a permanent and mandatory injunction ordering Fair Grounds Defendants to pay all future supplements due to the plaintiff class pursuant to La. R.S. 27:438, and to pay the plaintiff class such sums as it finds to reasonably represent the value of the sums due to the plaintiff class. The Louisiana Fourth Circuit Court of Appeals reversed the Louisiana Racing Commission's previous ruling that the plaintiffs did not have standing and remanded the matter to the Louisiana Racing Commission for further proceedings on June 13, 2018.</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established an accrual for an immaterial amount in the third quarter of 2019. The parties submitted a settlement agreement to the District Court on February 14, 2020, following the Louisiana Racing Commission’s approval to transfer the matter to the District Court for approval and administration of the settlement agreement on February 12, 2020. At a hearing on February 18, 2020, the District Court granted preliminary approval of the settlement agreement and set certain deadlines relating to actions to be taken by class members. The settlement agreement requires, among other items, the Fair Grounds Defendants to (i) pay a certain out-of-pocket amount that is within the amount for which we established an accrual in the third quarter of 2019, and (ii) support legislation that allocates a specified amount of video poker purse funds to quarter horse purses for races at Fair Grounds with maximum annual payout caps that are not deemed material. On June 13, 2020, the legislation addressed in the settlement agreement was passed by the legislature and signed into law by the Governor of Louisiana. The settlement includes a release of claims against the Fair Grounds Defendants in connection with the proceeding, although individual plaintiffs may opt-out. Objecting plaintiffs have filed a notice of appeal of the February 2020 Order appointing class counsel and certifying a class for settlement purposes. On January 28, 2021, the District Court issued a Final Order and Judgement approving the settlement. The objectors filed a notice of appeal of the January 28, 2021 Final Order and Judgment. That appeal has been consolidated with the earlier-filed appeal of the February 2020 Order appointing class counsel and certifying a class for settlement purposes. On December 22, 2021, the Fourth Circuit Court of Appeal entered an order affirming the orders of the District Court and approving the settlement. On January 7, 2022, the Fourth Circuit Court of Appeal denied the objectors’ motion for remand and application for rehearing. On February 6, 2022, the objectors filed a writ of certiorari with the Louisiana Supreme Court, which was denied on April 12, 2022. The deadline for the objectors to take further action expired on July 12, 2022 which is the final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478155</wp:posOffset>
            </wp:positionV>
            <wp:extent cx="7098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4" w:name="page45"/>
    <w:bookmarkEnd w:id="4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Bob Baffert and Bob Baffert Racing Stables, Inc. v. Churchill Downs Incorporated, Bill Carstanjen and Alex Rankin</w:t>
      </w:r>
    </w:p>
    <w:p>
      <w:pPr>
        <w:spacing w:after="0" w:line="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February 28, 2022, plaintiffs Bob Baffert and Bob Baffert Racing Stables, Inc. filed a complaint and motion for preliminary injunction against Churchill Downs Incorporated, its Chief Executive Officer Bill Carstanjen, and its Chairman of the Board of Directors Alex Rankin in the U.S. District Court for the Western District of Kentucky, arising out of the Company’s decision to suspend Mr. Baffert from entering horses trained by him at any Company-owned racetrack for a period of two years. The Company’s two-year suspension of Mr. Baffert came after Baffert-trained horse, Medina Spirit, finished first in the 147th running of the Kentucky Derby but subsequently tested positive for betamethasone, a banned race-day substance. Plaintiffs allege that the Company’s decisions to suspend Mr. Baffert from racing at any Company-owned racetrack and to prohibit horses trained by him (or any other suspended trainer) from accumulating Derby-qualifying points were unlawful. Plaintiffs assert claims for (i) violation of the due process clause, (ii) unlawful exclusion, (iii) violations of the federal antitrust laws, (iv) tortious interference with contract, and (v) tortious interference with prospective business advantage.</w:t>
      </w:r>
    </w:p>
    <w:p>
      <w:pPr>
        <w:spacing w:after="0" w:line="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and separate from the Company’s suspension of Mr. Baffert, on February 21, 2022, the Kentucky Horse Racing Commission (“KHRC”) Board of Stewards suspended Mr. Baffert from racing in Kentucky for 90 days and issued a fine to him. The KHRC rejected Mr. Baffert’s requests to stay the suspension. Mr. Baffert unsuccessfully sought judicial intervention relieving him from the KHRC suspension. On March 21, 2022, the Franklin County Circuit Court concluded Mr. Baffert was not entitled to a stay of the KHRC suspension and that he had not satisfied a single element required for a temporary injunction of the KHRC suspension. This decision was affirmed by the Kentucky Court of Appeals on April 1, 2022 in an order denying Mr. Baffert’s motion for emergency relief. After the Kentucky Court of Appeals allowed the KHRC’s 90-day suspension of Mr. Baffert to stand, plaintiffs voluntarily withdrew their motion for preliminary injunction against the Company without prejudice.</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 2022, the Company filed a motion to dismiss plaintiffs’ complaint. As of June 6, 2022, the motion was fully briefed. The Company, Mr. Carstanjen, and Mr. Rankin intend to defend this matter vigorously and believe that there are meritorious legal and factual defenses against plaintiffs' allegations and requests for relief.</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includes an addition to our risk factors previously disclosed in Part I, Item 1A of our Annual Report on Form 10-K for the year ended December 31, 2021.</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Internal Revenue Code Section 1031 exchanges.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cash proceeds from the sale of the Calder land on June 17, 2022 were $279.0 million. The Company is planning on using the proceeds of the sale to purchase property as part of the previously announced P2E acquisition and to invest in other replacement properties that qualify as Internal Revenue Code Section 1031 transactions (“1031 Exchange”). The Company plans to execute both a forward like-kind exchange transaction, in which the proceeds from the Calder land sale are reinvested by acquiring similar property; and two reverse transactions, in which property was acquired prior to the sale of the Calder land. If we are unable to complete a qualifying purchase of like-kind assets within the timeframe established by the Internal Revenue Code, then we would not be able to defer the related capital gain for federal income tax purposes. In such case, our current taxable income would increase. Also, because the proceeds are currently being held by a qualified intermediary, we do not have immediate access to the cash proceeds until the qualifying purchase of like-kind assets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321945</wp:posOffset>
            </wp:positionV>
            <wp:extent cx="70980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Common Stock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that we repurchased during the quarter ended 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5"/>
                <w:szCs w:val="15"/>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5"/>
        </w:trPr>
        <w:tc>
          <w:tcPr>
            <w:tcW w:w="3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 Programs (in</w:t>
            </w:r>
          </w:p>
        </w:tc>
        <w:tc>
          <w:tcPr>
            <w:tcW w:w="0" w:type="dxa"/>
            <w:vAlign w:val="bottom"/>
          </w:tcPr>
          <w:p>
            <w:pPr>
              <w:spacing w:after="0"/>
              <w:rPr>
                <w:sz w:val="1"/>
                <w:szCs w:val="1"/>
                <w:color w:val="auto"/>
              </w:rPr>
            </w:pPr>
          </w:p>
        </w:tc>
      </w:tr>
      <w:tr>
        <w:trPr>
          <w:trHeight w:val="250"/>
        </w:trPr>
        <w:tc>
          <w:tcPr>
            <w:tcW w:w="3840" w:type="dxa"/>
            <w:vAlign w:val="bottom"/>
            <w:gridSpan w:val="2"/>
            <w:vMerge w:val="continue"/>
          </w:tcPr>
          <w:p>
            <w:pPr>
              <w:spacing w:after="0"/>
              <w:rPr>
                <w:sz w:val="21"/>
                <w:szCs w:val="21"/>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21"/>
                <w:szCs w:val="21"/>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center"/>
              <w:ind w:right="17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millions)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34"/>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100" w:type="dxa"/>
            <w:vAlign w:val="bottom"/>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100" w:type="dxa"/>
            <w:vAlign w:val="bottom"/>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43"/>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23"/>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500" w:hanging="492"/>
        <w:spacing w:after="0" w:line="266" w:lineRule="auto"/>
        <w:tabs>
          <w:tab w:leader="none" w:pos="4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29, 2021, the Board of Directors of the Company approved a common stock repurchase program of up to $500.0 million. The 2021 Stock Repurchase Program includes and is not in addition to the unspent amount remaining under the prior 2018 Stock Repurchase Program authorization. The repurchase program has no time limit and may be suspended or discontinued at any time.</w:t>
      </w:r>
    </w:p>
    <w:p>
      <w:pPr>
        <w:spacing w:after="0" w:line="172"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342900</wp:posOffset>
            </wp:positionV>
            <wp:extent cx="70980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5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7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80" w:type="dxa"/>
            <w:vAlign w:val="bottom"/>
            <w:gridSpan w:val="2"/>
          </w:tcPr>
          <w:p>
            <w:pPr>
              <w:jc w:val="center"/>
              <w:ind w:left="210"/>
              <w:spacing w:after="0"/>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4.1</w:t>
              </w:r>
            </w:hyperlink>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Indenture, dated April 13, 2022, by and between CDI Escrow Issuer,</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4.1 to Current Report on Form 8-K filed</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 and U.S. Bank National Association as trustee</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14, 2022</w:t>
            </w:r>
          </w:p>
        </w:tc>
      </w:tr>
      <w:tr>
        <w:trPr>
          <w:trHeight w:val="238"/>
        </w:trPr>
        <w:tc>
          <w:tcPr>
            <w:tcW w:w="800" w:type="dxa"/>
            <w:vAlign w:val="bottom"/>
            <w:gridSpan w:val="3"/>
          </w:tcPr>
          <w:p>
            <w:pPr>
              <w:jc w:val="center"/>
              <w:ind w:left="230"/>
              <w:spacing w:after="0"/>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4.2</w:t>
              </w:r>
            </w:hyperlink>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Registration Rights Agreement, dated April 13, 2022, by and</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4.2 to Current Report on Form 8-K filed</w:t>
            </w:r>
          </w:p>
        </w:tc>
      </w:tr>
      <w:tr>
        <w:trPr>
          <w:trHeight w:val="225"/>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between CDI Escrow Issuer, Inc. and J.P. Morgan Securities LLC, as</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14, 2022</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representative of the initial purchasers</w:t>
            </w:r>
          </w:p>
        </w:tc>
        <w:tc>
          <w:tcPr>
            <w:tcW w:w="3740" w:type="dxa"/>
            <w:vAlign w:val="bottom"/>
          </w:tcPr>
          <w:p>
            <w:pPr>
              <w:spacing w:after="0"/>
              <w:rPr>
                <w:sz w:val="20"/>
                <w:szCs w:val="20"/>
                <w:color w:val="auto"/>
              </w:rPr>
            </w:pPr>
          </w:p>
        </w:tc>
      </w:tr>
      <w:tr>
        <w:trPr>
          <w:trHeight w:val="279"/>
        </w:trPr>
        <w:tc>
          <w:tcPr>
            <w:tcW w:w="800" w:type="dxa"/>
            <w:vAlign w:val="bottom"/>
            <w:gridSpan w:val="3"/>
          </w:tcPr>
          <w:p>
            <w:pPr>
              <w:jc w:val="center"/>
              <w:ind w:left="230"/>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10.1</w:t>
              </w:r>
            </w:hyperlink>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Fourth Amendment to Credit Agreement, dated April 13, 2022, by</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Exhibit 10.01 to Current Report on Form 8-K filed</w:t>
            </w: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3"/>
          </w:tcPr>
          <w:p>
            <w:pPr>
              <w:ind w:left="440"/>
              <w:spacing w:after="0" w:line="202" w:lineRule="exact"/>
              <w:rPr>
                <w:sz w:val="20"/>
                <w:szCs w:val="20"/>
                <w:color w:val="auto"/>
              </w:rPr>
            </w:pPr>
            <w:r>
              <w:rPr>
                <w:rFonts w:ascii="Times New Roman" w:cs="Times New Roman" w:eastAsia="Times New Roman" w:hAnsi="Times New Roman"/>
                <w:sz w:val="18"/>
                <w:szCs w:val="18"/>
                <w:color w:val="auto"/>
              </w:rPr>
              <w:t>and among Churchill Downs Incorporated, the credit parties party</w:t>
            </w:r>
          </w:p>
        </w:tc>
        <w:tc>
          <w:tcPr>
            <w:tcW w:w="37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April 14, 2022</w:t>
            </w: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3"/>
          </w:tcPr>
          <w:p>
            <w:pPr>
              <w:ind w:left="440"/>
              <w:spacing w:after="0" w:line="202" w:lineRule="exact"/>
              <w:rPr>
                <w:sz w:val="20"/>
                <w:szCs w:val="20"/>
                <w:color w:val="auto"/>
              </w:rPr>
            </w:pPr>
            <w:r>
              <w:rPr>
                <w:rFonts w:ascii="Times New Roman" w:cs="Times New Roman" w:eastAsia="Times New Roman" w:hAnsi="Times New Roman"/>
                <w:sz w:val="18"/>
                <w:szCs w:val="18"/>
                <w:color w:val="auto"/>
              </w:rPr>
              <w:t>thereto, the Lenders party thereto and JP Morgan Chase Bank N.A.,</w:t>
            </w:r>
          </w:p>
        </w:tc>
        <w:tc>
          <w:tcPr>
            <w:tcW w:w="37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 agent</w:t>
            </w:r>
          </w:p>
        </w:tc>
        <w:tc>
          <w:tcPr>
            <w:tcW w:w="37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7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31(a)</w:t>
            </w: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w:t>
            </w:r>
          </w:p>
        </w:tc>
        <w:tc>
          <w:tcPr>
            <w:tcW w:w="374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374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31(b)</w:t>
            </w: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w:t>
            </w:r>
          </w:p>
        </w:tc>
        <w:tc>
          <w:tcPr>
            <w:tcW w:w="374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3740" w:type="dxa"/>
            <w:vAlign w:val="bottom"/>
          </w:tcPr>
          <w:p>
            <w:pPr>
              <w:spacing w:after="0"/>
              <w:rPr>
                <w:sz w:val="20"/>
                <w:szCs w:val="20"/>
                <w:color w:val="auto"/>
              </w:rPr>
            </w:pPr>
          </w:p>
        </w:tc>
      </w:tr>
    </w:tbl>
    <w:p>
      <w:pPr>
        <w:spacing w:after="0" w:line="58" w:lineRule="exact"/>
        <w:rPr>
          <w:sz w:val="20"/>
          <w:szCs w:val="20"/>
          <w:color w:val="auto"/>
        </w:rPr>
      </w:pPr>
    </w:p>
    <w:p>
      <w:pPr>
        <w:ind w:left="1240" w:right="3919" w:hanging="768"/>
        <w:spacing w:after="0" w:line="224" w:lineRule="auto"/>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Principal Financial Officer Pursuant to 18 U.S.C. Section 1350, As Adopted Pursuant to Section 906 of the Sarbanes-Oxley Act of 2002 (furnished pursuant to Rule 13a – 14(b))**</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101.INS</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w:t>
            </w:r>
          </w:p>
        </w:tc>
      </w:tr>
      <w:tr>
        <w:trPr>
          <w:trHeight w:val="184"/>
        </w:trPr>
        <w:tc>
          <w:tcPr>
            <w:tcW w:w="860" w:type="dxa"/>
            <w:vAlign w:val="bottom"/>
          </w:tcPr>
          <w:p>
            <w:pPr>
              <w:spacing w:after="0"/>
              <w:rPr>
                <w:sz w:val="16"/>
                <w:szCs w:val="16"/>
                <w:color w:val="auto"/>
              </w:rPr>
            </w:pPr>
          </w:p>
        </w:tc>
        <w:tc>
          <w:tcPr>
            <w:tcW w:w="51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tc>
      </w:tr>
      <w:tr>
        <w:trPr>
          <w:trHeight w:val="234"/>
        </w:trPr>
        <w:tc>
          <w:tcPr>
            <w:tcW w:w="86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101.SCH</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101.CAL</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101.DEF</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101.LAB</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101.PRE</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49" w:lineRule="exact"/>
        <w:rPr>
          <w:sz w:val="20"/>
          <w:szCs w:val="20"/>
          <w:color w:val="auto"/>
        </w:rPr>
      </w:pPr>
    </w:p>
    <w:p>
      <w:pPr>
        <w:ind w:left="1240" w:right="4159" w:hanging="813"/>
        <w:spacing w:after="0" w:line="237" w:lineRule="auto"/>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as Inline XBRL and contained in Exhibit 101)</w:t>
      </w:r>
    </w:p>
    <w:p>
      <w:pPr>
        <w:spacing w:after="0" w:line="63" w:lineRule="exact"/>
        <w:rPr>
          <w:rFonts w:ascii="Times New Roman" w:cs="Times New Roman" w:eastAsia="Times New Roman" w:hAnsi="Times New Roman"/>
          <w:sz w:val="18"/>
          <w:szCs w:val="18"/>
          <w:color w:val="auto"/>
        </w:rPr>
      </w:pPr>
    </w:p>
    <w:p>
      <w:pPr>
        <w:ind w:left="1240" w:right="7319"/>
        <w:spacing w:after="0" w:line="3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474345</wp:posOffset>
            </wp:positionV>
            <wp:extent cx="70980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197"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27, 2022</w:t>
            </w:r>
          </w:p>
        </w:tc>
        <w:tc>
          <w:tcPr>
            <w:tcW w:w="3540" w:type="dxa"/>
            <w:vAlign w:val="bottom"/>
          </w:tcPr>
          <w:p>
            <w:pPr>
              <w:spacing w:after="0"/>
              <w:rPr>
                <w:sz w:val="20"/>
                <w:szCs w:val="20"/>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C. Carstanjen</w:t>
            </w:r>
          </w:p>
        </w:tc>
        <w:tc>
          <w:tcPr>
            <w:tcW w:w="18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C. Carstanjen</w:t>
            </w: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20"/>
                <w:szCs w:val="20"/>
                <w:color w:val="auto"/>
              </w:rPr>
            </w:pPr>
          </w:p>
        </w:tc>
      </w:tr>
      <w:tr>
        <w:trPr>
          <w:trHeight w:val="1013"/>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27, 2022</w:t>
            </w:r>
          </w:p>
        </w:tc>
        <w:tc>
          <w:tcPr>
            <w:tcW w:w="354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Marcia A. Dall</w:t>
            </w:r>
          </w:p>
        </w:tc>
        <w:tc>
          <w:tcPr>
            <w:tcW w:w="1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Marcia A. Dall</w:t>
            </w: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 w:type="dxa"/>
            <w:vAlign w:val="bottom"/>
          </w:tcPr>
          <w:p>
            <w:pPr>
              <w:spacing w:after="0"/>
              <w:rPr>
                <w:sz w:val="20"/>
                <w:szCs w:val="20"/>
                <w:color w:val="auto"/>
              </w:rPr>
            </w:pPr>
          </w:p>
        </w:tc>
      </w:tr>
      <w:tr>
        <w:trPr>
          <w:trHeight w:val="716"/>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FORM 10-Q FOR THE QUARTERLY PERIOD ENDED JUNE 30, 2022</w:t>
            </w: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60" w:type="dxa"/>
            <w:vAlign w:val="bottom"/>
            <w:gridSpan w:val="2"/>
          </w:tcPr>
          <w:p>
            <w:pPr>
              <w:ind w:left="35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0"/>
                <w:szCs w:val="20"/>
                <w:color w:val="auto"/>
              </w:rPr>
            </w:pPr>
          </w:p>
        </w:tc>
      </w:tr>
    </w:tbl>
    <w:p>
      <w:pPr>
        <w:sectPr>
          <w:pgSz w:w="11900" w:h="16838" w:orient="portrait"/>
          <w:cols w:equalWidth="0" w:num="1">
            <w:col w:w="11220"/>
          </w:cols>
          <w:pgMar w:left="320" w:top="1089"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Carstanjen,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Downs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right="240" w:hanging="480"/>
        <w:spacing w:after="0" w:line="266" w:lineRule="auto"/>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40" w:hanging="480"/>
        <w:spacing w:after="0" w:line="266" w:lineRule="auto"/>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0" w:val="left"/>
          <w:tab w:leader="none" w:pos="6180" w:val="left"/>
        </w:tabs>
        <w:rPr>
          <w:sz w:val="20"/>
          <w:szCs w:val="20"/>
          <w:color w:val="auto"/>
        </w:rPr>
      </w:pPr>
      <w:r>
        <w:rPr>
          <w:rFonts w:ascii="Times New Roman" w:cs="Times New Roman" w:eastAsia="Times New Roman" w:hAnsi="Times New Roman"/>
          <w:sz w:val="18"/>
          <w:szCs w:val="18"/>
          <w:color w:val="auto"/>
        </w:rPr>
        <w:t>Date:</w:t>
        <w:tab/>
        <w:t>July 27, 2022</w:t>
      </w:r>
      <w:r>
        <w:rPr>
          <w:sz w:val="20"/>
          <w:szCs w:val="20"/>
          <w:color w:val="auto"/>
        </w:rPr>
        <w:tab/>
      </w:r>
      <w:r>
        <w:rPr>
          <w:rFonts w:ascii="Times New Roman" w:cs="Times New Roman" w:eastAsia="Times New Roman" w:hAnsi="Times New Roman"/>
          <w:sz w:val="18"/>
          <w:szCs w:val="18"/>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0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C. Carstanjen</w:t>
      </w:r>
    </w:p>
    <w:p>
      <w:pPr>
        <w:ind w:left="620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Marcia A. Dall, certify that:</w:t>
      </w:r>
    </w:p>
    <w:p>
      <w:pPr>
        <w:spacing w:after="0" w:line="225"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Downs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right="240" w:hanging="480"/>
        <w:spacing w:after="0" w:line="266" w:lineRule="auto"/>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40" w:hanging="480"/>
        <w:spacing w:after="0" w:line="266" w:lineRule="auto"/>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0" w:val="left"/>
          <w:tab w:leader="none" w:pos="6180" w:val="left"/>
        </w:tabs>
        <w:rPr>
          <w:sz w:val="20"/>
          <w:szCs w:val="20"/>
          <w:color w:val="auto"/>
        </w:rPr>
      </w:pPr>
      <w:r>
        <w:rPr>
          <w:rFonts w:ascii="Times New Roman" w:cs="Times New Roman" w:eastAsia="Times New Roman" w:hAnsi="Times New Roman"/>
          <w:sz w:val="18"/>
          <w:szCs w:val="18"/>
          <w:color w:val="auto"/>
        </w:rPr>
        <w:t>Date:</w:t>
        <w:tab/>
        <w:t>July 27, 2022</w:t>
      </w:r>
      <w:r>
        <w:rPr>
          <w:sz w:val="20"/>
          <w:szCs w:val="20"/>
          <w:color w:val="auto"/>
        </w:rPr>
        <w:tab/>
      </w:r>
      <w:r>
        <w:rPr>
          <w:rFonts w:ascii="Times New Roman" w:cs="Times New Roman" w:eastAsia="Times New Roman" w:hAnsi="Times New Roman"/>
          <w:sz w:val="17"/>
          <w:szCs w:val="17"/>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0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Marcia A. Dall</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Churchill Downs Incorporated (the “Company”) for the quarterly period ended June 30, 2022,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spacing w:after="0" w:line="183" w:lineRule="exact"/>
        <w:rPr>
          <w:sz w:val="20"/>
          <w:szCs w:val="20"/>
          <w:color w:val="auto"/>
        </w:rPr>
      </w:pPr>
    </w:p>
    <w:p>
      <w:pPr>
        <w:ind w:left="820" w:hanging="32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20" w:right="760" w:hanging="326"/>
        <w:spacing w:after="0" w:line="282" w:lineRule="auto"/>
        <w:tabs>
          <w:tab w:leader="none" w:pos="8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C. Carstanjen</w:t>
      </w:r>
    </w:p>
    <w:p>
      <w:pPr>
        <w:ind w:left="2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27, 2022</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Marcia A. Dall</w:t>
      </w:r>
    </w:p>
    <w:p>
      <w:pPr>
        <w:ind w:left="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27, 2022</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lvl w:ilvl="1">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21" Type="http://schemas.openxmlformats.org/officeDocument/2006/relationships/hyperlink" Target="https://www.sec.gov/Archives/edgar/data/20212/000119312522105035/d278488dex41.htm" TargetMode="External"/><Relationship Id="rId122" Type="http://schemas.openxmlformats.org/officeDocument/2006/relationships/hyperlink" Target="https://www.sec.gov/Archives/edgar/data/20212/000119312522105035/d278488dex42.htm" TargetMode="External"/><Relationship Id="rId123" Type="http://schemas.openxmlformats.org/officeDocument/2006/relationships/hyperlink" Target="https://www.sec.gov/Archives/edgar/data/20212/000119312522105035/d278488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2022-07-27T16:26:21Z</dcterms:created>
  <dcterms:modified xsi:type="dcterms:W3CDTF">2022-07-27T16:26:21Z</dcterms:modified>
</cp:coreProperties>
</file>