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tbl>
      <w:tblPr>
        <w:tblW w:w="8696" w:type="dxa"/>
        <w:jc w:val="center"/>
        <w:tblInd w:w="0" w:type="dxa"/>
        <w:tblLayout w:type="fixed"/>
        <w:tblCellMar>
          <w:top w:w="28" w:type="dxa"/>
          <w:left w:w="28" w:type="dxa"/>
          <w:bottom w:w="28" w:type="dxa"/>
          <w:right w:w="28" w:type="dxa"/>
        </w:tblCellMar>
      </w:tblPr>
      <w:tblGrid>
        <w:gridCol w:w="124"/>
        <w:gridCol w:w="109"/>
        <w:gridCol w:w="109"/>
        <w:gridCol w:w="2447"/>
        <w:gridCol w:w="2447"/>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w:t>
              <w:br/>
              <w:t>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For the transition period from </w:t>
      </w:r>
      <w:r>
        <w:rPr>
          <w:color w:val="000000"/>
          <w:u w:val="single"/>
        </w:rPr>
        <w:t>            </w:t>
      </w:r>
      <w:r>
        <w:rPr>
          <w:color w:val="000000"/>
        </w:rPr>
        <w:t xml:space="preserve"> </w:t>
      </w:r>
      <w:r>
        <w:rPr>
          <w:rFonts w:ascii="Times New Roman;serif" w:hAnsi="Times New Roman;serif"/>
          <w:b w:val="false"/>
          <w:color w:val="000000"/>
          <w:sz w:val="20"/>
        </w:rPr>
        <w:t>to </w:t>
      </w:r>
      <w:r>
        <w:rPr>
          <w:color w:val="000000"/>
          <w:u w:val="single"/>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001-33998</w:t>
      </w:r>
    </w:p>
    <w:p>
      <w:pPr>
        <w:pStyle w:val="TextBody"/>
        <w:bidi w:val="0"/>
        <w:spacing w:lineRule="auto" w:line="288" w:before="0" w:after="60"/>
        <w:jc w:val="center"/>
        <w:rPr>
          <w:rFonts w:ascii="Times New Roman;serif" w:hAnsi="Times New Roman;serif"/>
          <w:b/>
          <w:color w:val="000000"/>
          <w:sz w:val="56"/>
        </w:rPr>
      </w:pPr>
      <w:r>
        <w:rPr>
          <w:rFonts w:ascii="Times New Roman;serif" w:hAnsi="Times New Roman;serif"/>
          <w:b/>
          <w:color w:val="000000"/>
          <w:sz w:val="56"/>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496" w:type="dxa"/>
        <w:jc w:val="center"/>
        <w:tblInd w:w="0" w:type="dxa"/>
        <w:tblLayout w:type="fixed"/>
        <w:tblCellMar>
          <w:top w:w="28" w:type="dxa"/>
          <w:left w:w="28" w:type="dxa"/>
          <w:bottom w:w="28" w:type="dxa"/>
          <w:right w:w="28" w:type="dxa"/>
        </w:tblCellMar>
      </w:tblPr>
      <w:tblGrid>
        <w:gridCol w:w="567"/>
        <w:gridCol w:w="498"/>
        <w:gridCol w:w="498"/>
        <w:gridCol w:w="498"/>
        <w:gridCol w:w="498"/>
        <w:gridCol w:w="498"/>
        <w:gridCol w:w="498"/>
        <w:gridCol w:w="498"/>
        <w:gridCol w:w="506"/>
        <w:gridCol w:w="109"/>
        <w:gridCol w:w="109"/>
        <w:gridCol w:w="109"/>
        <w:gridCol w:w="762"/>
        <w:gridCol w:w="762"/>
        <w:gridCol w:w="1086"/>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61-0156015</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Louisville,</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40222</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(502) 636-4400</w:t>
            </w:r>
          </w:p>
        </w:tc>
      </w:tr>
      <w:tr>
        <w:trPr/>
        <w:tc>
          <w:tcPr>
            <w:tcW w:w="7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98" w:type="dxa"/>
        <w:jc w:val="left"/>
        <w:tblInd w:w="0" w:type="dxa"/>
        <w:tblLayout w:type="fixed"/>
        <w:tblCellMar>
          <w:top w:w="28" w:type="dxa"/>
          <w:left w:w="28" w:type="dxa"/>
          <w:bottom w:w="28" w:type="dxa"/>
          <w:right w:w="28" w:type="dxa"/>
        </w:tblCellMar>
      </w:tblPr>
      <w:tblGrid>
        <w:gridCol w:w="917"/>
        <w:gridCol w:w="806"/>
        <w:gridCol w:w="812"/>
        <w:gridCol w:w="539"/>
        <w:gridCol w:w="539"/>
        <w:gridCol w:w="541"/>
        <w:gridCol w:w="979"/>
        <w:gridCol w:w="979"/>
        <w:gridCol w:w="1386"/>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3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5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 registered)</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3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(Title of class)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if the registrant is a well-known seasoned issuer, as defined in Rule 405 of the Securities Act.    Yes  ☒  No  ☐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a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00" w:before="60" w:after="283"/>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333333"/>
        </w:rPr>
        <w:t xml:space="preserve">☐ </w:t>
      </w:r>
    </w:p>
    <w:p>
      <w:pPr>
        <w:pStyle w:val="TextBody"/>
        <w:bidi w:val="0"/>
        <w:spacing w:lineRule="auto" w:line="300" w:before="60" w:after="283"/>
        <w:jc w:val="left"/>
        <w:rPr/>
      </w:pPr>
      <w:r>
        <w:rPr>
          <w:rFonts w:ascii="Times New Roman;serif" w:hAnsi="Times New Roman;serif"/>
          <w:b w:val="false"/>
          <w:color w:val="333333"/>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333333"/>
        </w:rPr>
        <w:t xml:space="preserve">☐ </w:t>
      </w:r>
    </w:p>
    <w:p>
      <w:pPr>
        <w:pStyle w:val="TextBody"/>
        <w:bidi w:val="0"/>
        <w:spacing w:before="0" w:after="0"/>
        <w:jc w:val="left"/>
        <w:rPr/>
      </w:pPr>
      <w:r>
        <w:rPr/>
      </w:r>
    </w:p>
    <w:p>
      <w:pPr>
        <w:pStyle w:val="TextBody"/>
        <w:bidi w:val="0"/>
        <w:spacing w:lineRule="auto" w:line="26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As of February 19, 2026, 69,696,376 shares of the Registrant’s Common Stock were outstanding. As of June 30, 2025 (based upon the closing sale price for such date on the Nasdaq Stock Market), the aggregate market value of the shares held by non-affiliates of the Registrant was $6,693,961,648. For the purposes of this disclosure only, the registrant has assumed that its directors and executive officers (as defined in Rule 3b-7 under the Exchange Act) are the affiliates of the registrant.</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Portions of the Registrant’s Proxy Statement for its Annual Meeting of Shareholders to be held on April 21, 2026 are incorporated by reference herein in response to Items 10, 11, 12, 13 and 14 of Part III of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tbl>
      <w:tblPr>
        <w:tblW w:w="10205" w:type="dxa"/>
        <w:jc w:val="center"/>
        <w:tblInd w:w="0" w:type="dxa"/>
        <w:tblLayout w:type="fixed"/>
        <w:tblCellMar>
          <w:top w:w="28" w:type="dxa"/>
          <w:left w:w="28" w:type="dxa"/>
          <w:bottom w:w="28" w:type="dxa"/>
          <w:right w:w="28" w:type="dxa"/>
        </w:tblCellMar>
      </w:tblPr>
      <w:tblGrid>
        <w:gridCol w:w="376"/>
        <w:gridCol w:w="257"/>
        <w:gridCol w:w="256"/>
        <w:gridCol w:w="2943"/>
        <w:gridCol w:w="2933"/>
        <w:gridCol w:w="2971"/>
        <w:gridCol w:w="136"/>
        <w:gridCol w:w="136"/>
        <w:gridCol w:w="197"/>
      </w:tblGrid>
      <w:tr>
        <w:trPr/>
        <w:tc>
          <w:tcPr>
            <w:tcW w:w="3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45f5ce63184b0dbe22097e2d9ebe88_16">
              <w:r>
                <w:rPr>
                  <w:rStyle w:val="InternetLink"/>
                  <w:rFonts w:ascii="Times New Roman;serif" w:hAnsi="Times New Roman;serif"/>
                  <w:b/>
                  <w:color w:val="000000"/>
                  <w:sz w:val="20"/>
                  <w:u w:val="single"/>
                </w:rPr>
                <w:t>Part 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9">
              <w:r>
                <w:rPr>
                  <w:rStyle w:val="InternetLink"/>
                  <w:rFonts w:ascii="Times New Roman;serif" w:hAnsi="Times New Roman;serif"/>
                  <w:b w:val="false"/>
                  <w:color w:val="000000"/>
                  <w:sz w:val="20"/>
                  <w:u w:val="singl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9">
              <w:r>
                <w:rPr>
                  <w:rStyle w:val="InternetLink"/>
                  <w:rFonts w:ascii="Times New Roman;serif" w:hAnsi="Times New Roman;serif"/>
                  <w:b w:val="false"/>
                  <w:color w:val="000000"/>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19">
              <w:r>
                <w:rPr>
                  <w:rStyle w:val="InternetLink"/>
                  <w:rFonts w:ascii="Times New Roman;serif" w:hAnsi="Times New Roman;serif"/>
                  <w:b w:val="false"/>
                  <w:color w:val="000000"/>
                  <w:sz w:val="20"/>
                  <w:u w:val="single"/>
                </w:rPr>
                <w:t>4</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49">
              <w:r>
                <w:rPr>
                  <w:rStyle w:val="InternetLink"/>
                  <w:rFonts w:ascii="Times New Roman;serif" w:hAnsi="Times New Roman;serif"/>
                  <w:b w:val="false"/>
                  <w:color w:val="000000"/>
                  <w:sz w:val="20"/>
                  <w:u w:val="single"/>
                </w:rPr>
                <w:t>Item 1A.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49">
              <w:r>
                <w:rPr>
                  <w:rStyle w:val="InternetLink"/>
                  <w:rFonts w:ascii="Times New Roman;serif" w:hAnsi="Times New Roman;serif"/>
                  <w:b w:val="false"/>
                  <w:color w:val="000000"/>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49">
              <w:r>
                <w:rPr>
                  <w:rStyle w:val="InternetLink"/>
                  <w:rFonts w:ascii="Times New Roman;serif" w:hAnsi="Times New Roman;serif"/>
                  <w:b w:val="false"/>
                  <w:color w:val="000000"/>
                  <w:sz w:val="20"/>
                  <w:u w:val="single"/>
                </w:rPr>
                <w:t>16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52">
              <w:r>
                <w:rPr>
                  <w:rStyle w:val="InternetLink"/>
                  <w:rFonts w:ascii="Times New Roman;serif" w:hAnsi="Times New Roman;serif"/>
                  <w:b w:val="false"/>
                  <w:color w:val="000000"/>
                  <w:sz w:val="20"/>
                  <w:u w:val="single"/>
                </w:rPr>
                <w:t>Item 1B.</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52">
              <w:r>
                <w:rPr>
                  <w:rStyle w:val="InternetLink"/>
                  <w:rFonts w:ascii="Times New Roman;serif" w:hAnsi="Times New Roman;serif"/>
                  <w:b w:val="false"/>
                  <w:color w:val="000000"/>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52">
              <w:r>
                <w:rPr>
                  <w:rStyle w:val="InternetLink"/>
                  <w:rFonts w:ascii="Times New Roman;serif" w:hAnsi="Times New Roman;serif"/>
                  <w:b w:val="false"/>
                  <w:color w:val="000000"/>
                  <w:sz w:val="20"/>
                  <w:u w:val="single"/>
                </w:rPr>
                <w:t>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1C.</w:t>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Cybersecurity</w:t>
            </w:r>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55">
              <w:r>
                <w:rPr>
                  <w:rStyle w:val="InternetLink"/>
                  <w:rFonts w:ascii="Times New Roman;serif" w:hAnsi="Times New Roman;serif"/>
                  <w:b w:val="false"/>
                  <w:color w:val="000000"/>
                  <w:sz w:val="20"/>
                  <w:u w:val="single"/>
                </w:rPr>
                <w:t>27</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58">
              <w:r>
                <w:rPr>
                  <w:rStyle w:val="InternetLink"/>
                  <w:rFonts w:ascii="Times New Roman;serif" w:hAnsi="Times New Roman;serif"/>
                  <w:b w:val="false"/>
                  <w:color w:val="000000"/>
                  <w:sz w:val="20"/>
                  <w:u w:val="singl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58">
              <w:r>
                <w:rPr>
                  <w:rStyle w:val="InternetLink"/>
                  <w:rFonts w:ascii="Times New Roman;serif" w:hAnsi="Times New Roman;serif"/>
                  <w:b w:val="false"/>
                  <w:color w:val="000000"/>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58">
              <w:r>
                <w:rPr>
                  <w:rStyle w:val="InternetLink"/>
                  <w:rFonts w:ascii="Times New Roman;serif" w:hAnsi="Times New Roman;serif"/>
                  <w:b w:val="false"/>
                  <w:color w:val="000000"/>
                  <w:sz w:val="20"/>
                  <w:u w:val="single"/>
                </w:rPr>
                <w:t>27</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61">
              <w:r>
                <w:rPr>
                  <w:rStyle w:val="InternetLink"/>
                  <w:rFonts w:ascii="Times New Roman;serif" w:hAnsi="Times New Roman;serif"/>
                  <w:b w:val="false"/>
                  <w:color w:val="000000"/>
                  <w:sz w:val="20"/>
                  <w:u w:val="singl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61">
              <w:r>
                <w:rPr>
                  <w:rStyle w:val="InternetLink"/>
                  <w:rFonts w:ascii="Times New Roman;serif" w:hAnsi="Times New Roman;serif"/>
                  <w:b w:val="false"/>
                  <w:color w:val="000000"/>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61">
              <w:r>
                <w:rPr>
                  <w:rStyle w:val="InternetLink"/>
                  <w:rFonts w:ascii="Times New Roman;serif" w:hAnsi="Times New Roman;serif"/>
                  <w:b w:val="false"/>
                  <w:color w:val="000000"/>
                  <w:sz w:val="20"/>
                  <w:u w:val="single"/>
                </w:rPr>
                <w:t>29</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64">
              <w:r>
                <w:rPr>
                  <w:rStyle w:val="InternetLink"/>
                  <w:rFonts w:ascii="Times New Roman;serif" w:hAnsi="Times New Roman;serif"/>
                  <w:b w:val="false"/>
                  <w:color w:val="000000"/>
                  <w:sz w:val="20"/>
                  <w:u w:val="singl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64">
              <w:r>
                <w:rPr>
                  <w:rStyle w:val="InternetLink"/>
                  <w:rFonts w:ascii="Times New Roman;serif" w:hAnsi="Times New Roman;serif"/>
                  <w:b w:val="false"/>
                  <w:color w:val="000000"/>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64">
              <w:r>
                <w:rPr>
                  <w:rStyle w:val="InternetLink"/>
                  <w:rFonts w:ascii="Times New Roman;serif" w:hAnsi="Times New Roman;serif"/>
                  <w:b w:val="false"/>
                  <w:color w:val="000000"/>
                  <w:sz w:val="20"/>
                  <w:u w:val="single"/>
                </w:rPr>
                <w:t>29</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45f5ce63184b0dbe22097e2d9ebe88_67">
              <w:r>
                <w:rPr>
                  <w:rStyle w:val="InternetLink"/>
                  <w:rFonts w:ascii="Times New Roman;serif" w:hAnsi="Times New Roman;serif"/>
                  <w:b/>
                  <w:color w:val="000000"/>
                  <w:sz w:val="20"/>
                  <w:u w:val="single"/>
                </w:rPr>
                <w:t>Part II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0">
              <w:r>
                <w:rPr>
                  <w:rStyle w:val="InternetLink"/>
                  <w:rFonts w:ascii="Times New Roman;serif" w:hAnsi="Times New Roman;serif"/>
                  <w:b w:val="false"/>
                  <w:color w:val="000000"/>
                  <w:sz w:val="20"/>
                  <w:u w:val="singl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0">
              <w:r>
                <w:rPr>
                  <w:rStyle w:val="InternetLink"/>
                  <w:rFonts w:ascii="Times New Roman;serif" w:hAnsi="Times New Roman;serif"/>
                  <w:b w:val="false"/>
                  <w:color w:val="000000"/>
                  <w:sz w:val="20"/>
                  <w:u w:val="single"/>
                </w:rPr>
                <w:t>Market for Registrant’s Common Equity, Related Shareholder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70">
              <w:r>
                <w:rPr>
                  <w:rStyle w:val="InternetLink"/>
                  <w:rFonts w:ascii="Times New Roman;serif" w:hAnsi="Times New Roman;serif"/>
                  <w:b w:val="false"/>
                  <w:color w:val="000000"/>
                  <w:sz w:val="20"/>
                  <w:u w:val="single"/>
                </w:rPr>
                <w:t>30</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6">
              <w:r>
                <w:rPr>
                  <w:rStyle w:val="InternetLink"/>
                  <w:rFonts w:ascii="Times New Roman;serif" w:hAnsi="Times New Roman;serif"/>
                  <w:b w:val="false"/>
                  <w:color w:val="000000"/>
                  <w:sz w:val="20"/>
                  <w:u w:val="singl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6">
              <w:r>
                <w:rPr>
                  <w:rStyle w:val="InternetLink"/>
                  <w:rFonts w:ascii="Times New Roman;serif" w:hAnsi="Times New Roman;serif"/>
                  <w:b w:val="false"/>
                  <w:color w:val="000000"/>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76">
              <w:r>
                <w:rPr>
                  <w:rStyle w:val="InternetLink"/>
                  <w:rFonts w:ascii="Times New Roman;serif" w:hAnsi="Times New Roman;serif"/>
                  <w:b w:val="false"/>
                  <w:color w:val="000000"/>
                  <w:sz w:val="20"/>
                  <w:u w:val="single"/>
                </w:rPr>
                <w:t>31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9">
              <w:r>
                <w:rPr>
                  <w:rStyle w:val="InternetLink"/>
                  <w:rFonts w:ascii="Times New Roman;serif" w:hAnsi="Times New Roman;serif"/>
                  <w:b w:val="false"/>
                  <w:color w:val="000000"/>
                  <w:sz w:val="20"/>
                  <w:u w:val="single"/>
                </w:rPr>
                <w:t>Item 7.</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7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79">
              <w:r>
                <w:rPr>
                  <w:rStyle w:val="InternetLink"/>
                  <w:rFonts w:ascii="Times New Roman;serif" w:hAnsi="Times New Roman;serif"/>
                  <w:b w:val="false"/>
                  <w:color w:val="000000"/>
                  <w:sz w:val="20"/>
                  <w:u w:val="single"/>
                </w:rPr>
                <w:t>32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15">
              <w:r>
                <w:rPr>
                  <w:rStyle w:val="InternetLink"/>
                  <w:rFonts w:ascii="Times New Roman;serif" w:hAnsi="Times New Roman;serif"/>
                  <w:b w:val="false"/>
                  <w:color w:val="000000"/>
                  <w:sz w:val="20"/>
                  <w:u w:val="single"/>
                </w:rPr>
                <w:t>Item 7A.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15">
              <w:r>
                <w:rPr>
                  <w:rStyle w:val="InternetLink"/>
                  <w:rFonts w:ascii="Times New Roman;serif" w:hAnsi="Times New Roman;serif"/>
                  <w:b w:val="false"/>
                  <w:color w:val="000000"/>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115">
              <w:r>
                <w:rPr>
                  <w:rStyle w:val="InternetLink"/>
                  <w:rFonts w:ascii="Times New Roman;serif" w:hAnsi="Times New Roman;serif"/>
                  <w:b w:val="false"/>
                  <w:color w:val="000000"/>
                  <w:sz w:val="20"/>
                  <w:u w:val="single"/>
                </w:rPr>
                <w:t>46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18">
              <w:r>
                <w:rPr>
                  <w:rStyle w:val="InternetLink"/>
                  <w:rFonts w:ascii="Times New Roman;serif" w:hAnsi="Times New Roman;serif"/>
                  <w:b w:val="false"/>
                  <w:color w:val="000000"/>
                  <w:sz w:val="20"/>
                  <w:u w:val="single"/>
                </w:rPr>
                <w:t>Item 8.</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118">
              <w:r>
                <w:rPr>
                  <w:rStyle w:val="InternetLink"/>
                  <w:rFonts w:ascii="Times New Roman;serif" w:hAnsi="Times New Roman;serif"/>
                  <w:b w:val="false"/>
                  <w:color w:val="000000"/>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118">
              <w:r>
                <w:rPr>
                  <w:rStyle w:val="InternetLink"/>
                  <w:rFonts w:ascii="Times New Roman;serif" w:hAnsi="Times New Roman;serif"/>
                  <w:b w:val="false"/>
                  <w:color w:val="000000"/>
                  <w:sz w:val="20"/>
                  <w:u w:val="single"/>
                </w:rPr>
                <w:t>47</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38">
              <w:r>
                <w:rPr>
                  <w:rStyle w:val="InternetLink"/>
                  <w:rFonts w:ascii="Times New Roman;serif" w:hAnsi="Times New Roman;serif"/>
                  <w:b w:val="false"/>
                  <w:color w:val="000000"/>
                  <w:sz w:val="20"/>
                  <w:u w:val="single"/>
                </w:rPr>
                <w:t>Item 9.</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38">
              <w:r>
                <w:rPr>
                  <w:rStyle w:val="InternetLink"/>
                  <w:rFonts w:ascii="Times New Roman;serif" w:hAnsi="Times New Roman;serif"/>
                  <w:b w:val="false"/>
                  <w:color w:val="000000"/>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38">
              <w:r>
                <w:rPr>
                  <w:rStyle w:val="InternetLink"/>
                  <w:rFonts w:ascii="Times New Roman;serif" w:hAnsi="Times New Roman;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41">
              <w:r>
                <w:rPr>
                  <w:rStyle w:val="InternetLink"/>
                  <w:rFonts w:ascii="Times New Roman;serif" w:hAnsi="Times New Roman;serif"/>
                  <w:b w:val="false"/>
                  <w:color w:val="000000"/>
                  <w:sz w:val="20"/>
                  <w:u w:val="single"/>
                </w:rPr>
                <w:t>Item 9A.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41">
              <w:r>
                <w:rPr>
                  <w:rStyle w:val="InternetLink"/>
                  <w:rFonts w:ascii="Times New Roman;serif" w:hAnsi="Times New Roman;serif"/>
                  <w:b w:val="false"/>
                  <w:color w:val="000000"/>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41">
              <w:r>
                <w:rPr>
                  <w:rStyle w:val="InternetLink"/>
                  <w:rFonts w:ascii="Times New Roman;serif" w:hAnsi="Times New Roman;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44">
              <w:r>
                <w:rPr>
                  <w:rStyle w:val="InternetLink"/>
                  <w:rFonts w:ascii="Times New Roman;serif" w:hAnsi="Times New Roman;serif"/>
                  <w:b w:val="false"/>
                  <w:color w:val="000000"/>
                  <w:sz w:val="20"/>
                  <w:u w:val="single"/>
                </w:rPr>
                <w:t>Item 9B.</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44">
              <w:r>
                <w:rPr>
                  <w:rStyle w:val="InternetLink"/>
                  <w:rFonts w:ascii="Times New Roman;serif" w:hAnsi="Times New Roman;serif"/>
                  <w:b w:val="false"/>
                  <w:color w:val="000000"/>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44">
              <w:r>
                <w:rPr>
                  <w:rStyle w:val="InternetLink"/>
                  <w:rFonts w:ascii="Times New Roman;serif" w:hAnsi="Times New Roman;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250">
              <w:r>
                <w:rPr>
                  <w:rStyle w:val="InternetLink"/>
                  <w:rFonts w:ascii="Times New Roman;serif" w:hAnsi="Times New Roman;serif"/>
                  <w:b w:val="false"/>
                  <w:color w:val="000000"/>
                  <w:sz w:val="20"/>
                  <w:u w:val="single"/>
                </w:rPr>
                <w:t>Item 9C.</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250">
              <w:r>
                <w:rPr>
                  <w:rStyle w:val="InternetLink"/>
                  <w:rFonts w:ascii="Times New Roman;serif" w:hAnsi="Times New Roman;serif"/>
                  <w:b w:val="false"/>
                  <w:color w:val="000000"/>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250">
              <w:r>
                <w:rPr>
                  <w:rStyle w:val="InternetLink"/>
                  <w:rFonts w:ascii="Times New Roman;serif" w:hAnsi="Times New Roman;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45f5ce63184b0dbe22097e2d9ebe88_253">
              <w:r>
                <w:rPr>
                  <w:rStyle w:val="InternetLink"/>
                  <w:rFonts w:ascii="Times New Roman;serif" w:hAnsi="Times New Roman;serif"/>
                  <w:b/>
                  <w:color w:val="000000"/>
                  <w:sz w:val="20"/>
                  <w:u w:val="single"/>
                </w:rPr>
                <w:t>Part III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56">
              <w:r>
                <w:rPr>
                  <w:rStyle w:val="InternetLink"/>
                  <w:rFonts w:ascii="Times New Roman;serif" w:hAnsi="Times New Roman;serif"/>
                  <w:b w:val="false"/>
                  <w:color w:val="000000"/>
                  <w:sz w:val="20"/>
                  <w:u w:val="single"/>
                </w:rPr>
                <w:t>Item 10.</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56">
              <w:r>
                <w:rPr>
                  <w:rStyle w:val="InternetLink"/>
                  <w:rFonts w:ascii="Times New Roman;serif" w:hAnsi="Times New Roman;serif"/>
                  <w:b w:val="false"/>
                  <w:color w:val="000000"/>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56">
              <w:r>
                <w:rPr>
                  <w:rStyle w:val="InternetLink"/>
                  <w:rFonts w:ascii="Times New Roman;serif" w:hAnsi="Times New Roman;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59">
              <w:r>
                <w:rPr>
                  <w:rStyle w:val="InternetLink"/>
                  <w:rFonts w:ascii="Times New Roman;serif" w:hAnsi="Times New Roman;serif"/>
                  <w:b w:val="false"/>
                  <w:color w:val="000000"/>
                  <w:sz w:val="20"/>
                  <w:u w:val="single"/>
                </w:rPr>
                <w:t>Item 11.</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59">
              <w:r>
                <w:rPr>
                  <w:rStyle w:val="InternetLink"/>
                  <w:rFonts w:ascii="Times New Roman;serif" w:hAnsi="Times New Roman;serif"/>
                  <w:b w:val="false"/>
                  <w:color w:val="000000"/>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59">
              <w:r>
                <w:rPr>
                  <w:rStyle w:val="InternetLink"/>
                  <w:rFonts w:ascii="Times New Roman;serif" w:hAnsi="Times New Roman;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62">
              <w:r>
                <w:rPr>
                  <w:rStyle w:val="InternetLink"/>
                  <w:rFonts w:ascii="Times New Roman;serif" w:hAnsi="Times New Roman;serif"/>
                  <w:b w:val="false"/>
                  <w:color w:val="000000"/>
                  <w:sz w:val="20"/>
                  <w:u w:val="single"/>
                </w:rPr>
                <w:t>Item 12.</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59">
              <w:r>
                <w:rPr>
                  <w:rStyle w:val="InternetLink"/>
                  <w:rFonts w:ascii="Times New Roman;serif" w:hAnsi="Times New Roman;serif"/>
                  <w:b w:val="false"/>
                  <w:color w:val="000000"/>
                  <w:sz w:val="20"/>
                  <w:u w:val="single"/>
                </w:rPr>
                <w:t>Security Ownership of Certain Beneficial Owners and Management and Related Shareholder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62">
              <w:r>
                <w:rPr>
                  <w:rStyle w:val="InternetLink"/>
                  <w:rFonts w:ascii="Times New Roman;serif" w:hAnsi="Times New Roman;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65">
              <w:r>
                <w:rPr>
                  <w:rStyle w:val="InternetLink"/>
                  <w:rFonts w:ascii="Times New Roman;serif" w:hAnsi="Times New Roman;serif"/>
                  <w:b w:val="false"/>
                  <w:color w:val="000000"/>
                  <w:sz w:val="20"/>
                  <w:u w:val="single"/>
                </w:rPr>
                <w:t>Item 13.</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65">
              <w:r>
                <w:rPr>
                  <w:rStyle w:val="InternetLink"/>
                  <w:rFonts w:ascii="Times New Roman;serif" w:hAnsi="Times New Roman;serif"/>
                  <w:b w:val="false"/>
                  <w:color w:val="000000"/>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65">
              <w:r>
                <w:rPr>
                  <w:rStyle w:val="InternetLink"/>
                  <w:rFonts w:ascii="Times New Roman;serif" w:hAnsi="Times New Roman;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68">
              <w:r>
                <w:rPr>
                  <w:rStyle w:val="InternetLink"/>
                  <w:rFonts w:ascii="Times New Roman;serif" w:hAnsi="Times New Roman;serif"/>
                  <w:b w:val="false"/>
                  <w:color w:val="000000"/>
                  <w:sz w:val="20"/>
                  <w:u w:val="single"/>
                </w:rPr>
                <w:t>Item 14.</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68">
              <w:r>
                <w:rPr>
                  <w:rStyle w:val="InternetLink"/>
                  <w:rFonts w:ascii="Times New Roman;serif" w:hAnsi="Times New Roman;serif"/>
                  <w:b w:val="false"/>
                  <w:color w:val="000000"/>
                  <w:sz w:val="20"/>
                  <w:u w:val="single"/>
                </w:rPr>
                <w:t>Principal Accountant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68">
              <w:r>
                <w:rPr>
                  <w:rStyle w:val="InternetLink"/>
                  <w:rFonts w:ascii="Times New Roman;serif" w:hAnsi="Times New Roman;serif"/>
                  <w:b w:val="false"/>
                  <w:color w:val="000000"/>
                  <w:sz w:val="20"/>
                  <w:u w:val="single"/>
                </w:rPr>
                <w:t>93</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45f5ce63184b0dbe22097e2d9ebe88_271">
              <w:r>
                <w:rPr>
                  <w:rStyle w:val="InternetLink"/>
                  <w:rFonts w:ascii="Times New Roman;serif" w:hAnsi="Times New Roman;serif"/>
                  <w:b/>
                  <w:color w:val="000000"/>
                  <w:sz w:val="20"/>
                  <w:u w:val="single"/>
                </w:rPr>
                <w:t>Part IV</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74">
              <w:r>
                <w:rPr>
                  <w:rStyle w:val="InternetLink"/>
                  <w:rFonts w:ascii="Times New Roman;serif" w:hAnsi="Times New Roman;serif"/>
                  <w:b w:val="false"/>
                  <w:color w:val="000000"/>
                  <w:sz w:val="20"/>
                  <w:u w:val="single"/>
                </w:rPr>
                <w:t>Item 15.</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74">
              <w:r>
                <w:rPr>
                  <w:rStyle w:val="InternetLink"/>
                  <w:rFonts w:ascii="Times New Roman;serif" w:hAnsi="Times New Roman;serif"/>
                  <w:b w:val="false"/>
                  <w:color w:val="000080"/>
                  <w:sz w:val="20"/>
                  <w:u w:val="single"/>
                </w:rPr>
                <w:t>Exhibit</w:t>
              </w:r>
            </w:hyperlink>
            <w:hyperlink w:anchor="ia645f5ce63184b0dbe22097e2d9ebe88_274">
              <w:r>
                <w:rPr>
                  <w:rStyle w:val="InternetLink"/>
                  <w:rFonts w:ascii="Times New Roman;serif" w:hAnsi="Times New Roman;serif"/>
                  <w:b w:val="false"/>
                  <w:color w:val="000080"/>
                  <w:sz w:val="20"/>
                  <w:u w:val="single"/>
                </w:rPr>
                <w:t>s</w:t>
              </w:r>
            </w:hyperlink>
            <w:hyperlink w:anchor="ia645f5ce63184b0dbe22097e2d9ebe88_274">
              <w:r>
                <w:rPr>
                  <w:rStyle w:val="InternetLink"/>
                  <w:rFonts w:ascii="Times New Roman;serif" w:hAnsi="Times New Roman;serif"/>
                  <w:b w:val="false"/>
                  <w:color w:val="000080"/>
                  <w:sz w:val="20"/>
                  <w:u w:val="single"/>
                </w:rPr>
                <w:t xml:space="preserve"> and </w:t>
              </w:r>
            </w:hyperlink>
            <w:hyperlink w:anchor="ia645f5ce63184b0dbe22097e2d9ebe88_274">
              <w:r>
                <w:rPr>
                  <w:rStyle w:val="InternetLink"/>
                  <w:rFonts w:ascii="Times New Roman;serif" w:hAnsi="Times New Roman;serif"/>
                  <w:b w:val="false"/>
                  <w:color w:val="000080"/>
                  <w:sz w:val="20"/>
                  <w:u w:val="single"/>
                </w:rPr>
                <w:t>Financial Statement Schedule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74">
              <w:r>
                <w:rPr>
                  <w:rStyle w:val="InternetLink"/>
                  <w:rFonts w:ascii="Times New Roman;serif" w:hAnsi="Times New Roman;serif"/>
                  <w:b w:val="false"/>
                  <w:color w:val="000000"/>
                  <w:sz w:val="20"/>
                  <w:u w:val="single"/>
                </w:rPr>
                <w:t>94</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77">
              <w:r>
                <w:rPr>
                  <w:rStyle w:val="InternetLink"/>
                  <w:rFonts w:ascii="Times New Roman;serif" w:hAnsi="Times New Roman;serif"/>
                  <w:b w:val="false"/>
                  <w:color w:val="000000"/>
                  <w:sz w:val="20"/>
                  <w:u w:val="single"/>
                </w:rPr>
                <w:t>Exhibit Index</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77">
              <w:r>
                <w:rPr>
                  <w:rStyle w:val="InternetLink"/>
                  <w:rFonts w:ascii="Times New Roman;serif" w:hAnsi="Times New Roman;serif"/>
                  <w:b w:val="false"/>
                  <w:color w:val="000000"/>
                  <w:sz w:val="20"/>
                  <w:u w:val="single"/>
                </w:rPr>
                <w:t>95</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80">
              <w:r>
                <w:rPr>
                  <w:rStyle w:val="InternetLink"/>
                  <w:rFonts w:ascii="Times New Roman;serif" w:hAnsi="Times New Roman;serif"/>
                  <w:b w:val="false"/>
                  <w:color w:val="000000"/>
                  <w:sz w:val="20"/>
                  <w:u w:val="single"/>
                </w:rPr>
                <w:t>Item 16.</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80">
              <w:r>
                <w:rPr>
                  <w:rStyle w:val="InternetLink"/>
                  <w:rFonts w:ascii="Times New Roman;serif" w:hAnsi="Times New Roman;serif"/>
                  <w:b w:val="false"/>
                  <w:color w:val="000000"/>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80">
              <w:r>
                <w:rPr>
                  <w:rStyle w:val="InternetLink"/>
                  <w:rFonts w:ascii="Times New Roman;serif" w:hAnsi="Times New Roman;serif"/>
                  <w:b w:val="false"/>
                  <w:color w:val="000000"/>
                  <w:sz w:val="20"/>
                  <w:u w:val="single"/>
                </w:rPr>
                <w:t>101</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83">
              <w:r>
                <w:rPr>
                  <w:rStyle w:val="InternetLink"/>
                  <w:rFonts w:ascii="Times New Roman;serif" w:hAnsi="Times New Roman;serif"/>
                  <w:b w:val="false"/>
                  <w:color w:val="000000"/>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83">
              <w:r>
                <w:rPr>
                  <w:rStyle w:val="InternetLink"/>
                  <w:rFonts w:ascii="Times New Roman;serif" w:hAnsi="Times New Roman;serif"/>
                  <w:b w:val="false"/>
                  <w:color w:val="000000"/>
                  <w:sz w:val="20"/>
                  <w:u w:val="single"/>
                </w:rPr>
                <w:t>102</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5f5ce63184b0dbe22097e2d9ebe88_286">
              <w:r>
                <w:rPr>
                  <w:rStyle w:val="InternetLink"/>
                  <w:rFonts w:ascii="Times New Roman;serif" w:hAnsi="Times New Roman;serif"/>
                  <w:b w:val="false"/>
                  <w:color w:val="000000"/>
                  <w:sz w:val="20"/>
                  <w:u w:val="single"/>
                </w:rPr>
                <w:t>Schedule II—Valuation and Qualifying Accounts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5f5ce63184b0dbe22097e2d9ebe88_286">
              <w:r>
                <w:rPr>
                  <w:rStyle w:val="InternetLink"/>
                  <w:rFonts w:ascii="Times New Roman;serif" w:hAnsi="Times New Roman;serif"/>
                  <w:b w:val="false"/>
                  <w:color w:val="000000"/>
                  <w:sz w:val="20"/>
                  <w:u w:val="single"/>
                </w:rPr>
                <w:t>103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("Report")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general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("HRM") manufacturing and other technology conditions that could impose additional costs; failure to enter into or maintain agreements with industry constituents, including horsemen and other racetracks; cybersecurity risk, including cyber-security breaches, or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 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and other factors described in Item 1A. Risk Factors, of this Report and in other filings we make with the Securities and Exchange Commission.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do not undertake any obligation to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Business Segments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through three reportable segments: Live and Historical Racing, Wagering Services and Solutions, and Gaming. We aggregate our other businesses as well as certain corporate operations in All Other. We report net revenue and operating expense associated with these reportable segments and other information about these segments in Part II, Item 8. Financial Statements and Supplementary Data, contained within this Report. Further discussion of segment financial information, and our planned investments in segment properties, is set forth in Part II, Item 7. Management’s Discussion and Analysis of Financial Condition and Results of Operations contained within this Report.</w:t>
      </w:r>
    </w:p>
    <w:p>
      <w:pPr>
        <w:pStyle w:val="TextBody"/>
        <w:bidi w:val="0"/>
        <w:spacing w:lineRule="auto" w:line="268" w:before="60" w:after="120"/>
        <w:jc w:val="both"/>
        <w:rPr>
          <w:rFonts w:ascii="Times New Roman;serif" w:hAnsi="Times New Roman;serif"/>
          <w:b/>
          <w:i/>
          <w:color w:val="000000"/>
          <w:sz w:val="20"/>
        </w:rPr>
      </w:pPr>
      <w:r>
        <w:rPr>
          <w:rFonts w:ascii="Times New Roman;serif" w:hAnsi="Times New Roman;serif"/>
          <w:b/>
          <w:i/>
          <w:color w:val="000000"/>
          <w:sz w:val="20"/>
        </w:rPr>
        <w:t>Live and Historical Racing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Live and Historical Racing segment includes live and historical pari-mutuel racing related revenue and expenses at Churchill Downs Racetrack and our historical racing properties in Kentucky, Virginia, and New Hampshire.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Live and Historical Racing properties earn commissions primarily from pari-mutuel wagering on live and historical races, simulcast fees earned from other wagering sites, fees from racing event-related services including admissions, personal seat licenses, sponsorships, television rights, other miscellaneous services, and revenue from food and beverage services.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Churchill Downs Racetrack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Racetrack is in Louisville, Kentucky and is an internationally known thoroughbred racing operation best known as the home of our iconic flagship event, the Kentucky Derby. Thoroughbred racing has been conducted at Churchill Downs Racetrack since 1875. The Kentucky Derby is the longest continuously held annual sporting event in the U.S. and is the first race of the annual series of races for 3-year-old thoroughbreds known as the Triple Crown. The demographic profile of our guests, global television viewership, and long-running nature of this iconic event are attractive to sponsors and corporate partners, especially those with luxury and/or marquee brands.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Racetrack is located on 175 acres and has a one-mile dirt track, a 7/8-mile turf track, a stabling area, and a variety of areas, structures, and buildings that provide reserved seating for our patrons. Churchill Downs Racetrack conducts approximately 80 live race days each year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Racetrack has one of the largest 4K video boards in the world sitting 80 feet above the ground and measuring 171 feet wide by 90 feet tall. This video board provides views of the finish line and the entire race for on-track guests, including those in the infield and guests along the entire front side of the racetrack. The facility also has permanent lighting to accommodate night races. We have a saddling paddock and our stable area has barns sufficient to accommodate 1,400 horses and a 114-room dormitory for backside personnel. We have a state-of-the-art equine medical center and quarantine barns on the backside area of Churchill Downs Racetrack which reinforces our ongoing commitment to equine safety and supports our long-term international growth strategy. The Churchill Downs Racetrack facility also includes a simulcast wagering area. We also own 83 acres of land at our auxiliary training facility, which is five miles from Churchill Downs Racetrack.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2002, we transferred title of the Churchill Downs Racetrack facility to the City of Louisville, Kentucky and entered into a 30-year lease for the facility as part of the financing of improvements to the Churchill Downs Racetrack facility. We can reacquire the facility at any time for $1.00 subject to the terms of the lease.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Since 2021, we have completed several major multi-year capital investments at Churchill Downs Racetrack: The Homestretch Club, the First Turn Club, the Jockey Club Suites renovation, the Paddock Project, and the Starting Gate Pavilion and Courtyard. These investments transformed key areas of Churchill Downs Racetrack that enhance the experience for our guests.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Starting Gate Pavilion and Courtyard was completed for the 151st running of the Kentucky Derby. The renovations transformed existing outdoor aluminum bleachers into updated seating options including covered and uncovered stadium-style seats as well as rail boxes along the dirt track’s outer rail that offer a "trackside" seating experience where guests can watch horses break from the Kentucky Derby Starting Gate. The renovations created a more upscale social environment by converting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existing second-floor amenity area into a covered outdoor garden environment with new concessions, bars and wagering windows.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investing up to $30 million to renovate the existing Finish Line Suites and The Mansion to enhance the existing areas and provide improved amenities for the 152nd Kentucky Derby in May 2026. The Company is also investing $280-$300 million to build a new building on the first turn of the Churchill Downs Racetrack between the First Turn Club and the Skye Terrace. The Company anticipates construction of this new building will begin following the 2026 Kentucky Derby and will be completed by the 2028 Kentucky Derby.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Historical Racing Entertainment Venues</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key information regarding our current historical racing entertainment venues: </w:t>
      </w:r>
    </w:p>
    <w:tbl>
      <w:tblPr>
        <w:tblW w:w="10205" w:type="dxa"/>
        <w:jc w:val="left"/>
        <w:tblInd w:w="0" w:type="dxa"/>
        <w:tblLayout w:type="fixed"/>
        <w:tblCellMar>
          <w:top w:w="28" w:type="dxa"/>
          <w:left w:w="28" w:type="dxa"/>
          <w:bottom w:w="28" w:type="dxa"/>
          <w:right w:w="28" w:type="dxa"/>
        </w:tblCellMar>
      </w:tblPr>
      <w:tblGrid>
        <w:gridCol w:w="491"/>
        <w:gridCol w:w="430"/>
        <w:gridCol w:w="439"/>
        <w:gridCol w:w="902"/>
        <w:gridCol w:w="864"/>
        <w:gridCol w:w="866"/>
        <w:gridCol w:w="546"/>
        <w:gridCol w:w="513"/>
        <w:gridCol w:w="515"/>
        <w:gridCol w:w="975"/>
        <w:gridCol w:w="975"/>
        <w:gridCol w:w="978"/>
        <w:gridCol w:w="498"/>
        <w:gridCol w:w="498"/>
        <w:gridCol w:w="715"/>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Floor Space (Sq. ft.)</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 Racing Machines ("HRMs")</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Retail Sportsbook</w:t>
            </w:r>
            <w:r>
              <w:rPr>
                <w:rFonts w:ascii="Times New Roman;serif" w:hAnsi="Times New Roman;serif"/>
                <w:b/>
                <w:color w:val="000000"/>
                <w:sz w:val="13"/>
              </w:rPr>
              <w:t>(a)</w:t>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Kentucky </w:t>
            </w:r>
          </w:p>
        </w:tc>
        <w:tc>
          <w:tcPr>
            <w:tcW w:w="2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2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Derby City Gaming &amp; Hotel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Derby City Gaming Downtown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Turfway Park</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Northern </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Newport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Oak Grove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Yards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Western </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Ellis Park</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Owensboro</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2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Colonial Downs / Rosie's New Kent</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w:t>
            </w:r>
          </w:p>
        </w:tc>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Rosie's Richmond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Roseshire / Henrico</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Northern </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Rose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Rosie's Hampton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Southern </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Rosie's Emporia</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Rosie's Collinsville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Rosie's Vinton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Salem </w:t>
            </w:r>
          </w:p>
        </w:tc>
        <w:tc>
          <w:tcPr>
            <w:tcW w:w="2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Chasers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540,000</w:t>
            </w:r>
          </w:p>
        </w:tc>
        <w:tc>
          <w:tcPr>
            <w:tcW w:w="292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10,190</w:t>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The Company's retail sports betting business is included in the Wagering Services and Solutions segment.</w:t>
      </w:r>
    </w:p>
    <w:p>
      <w:pPr>
        <w:pStyle w:val="TextBody"/>
        <w:bidi w:val="0"/>
        <w:spacing w:lineRule="auto" w:line="268" w:before="6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Kentucky</w:t>
      </w:r>
    </w:p>
    <w:p>
      <w:pPr>
        <w:pStyle w:val="TextBody"/>
        <w:bidi w:val="0"/>
        <w:spacing w:lineRule="auto" w:line="268" w:before="60" w:after="120"/>
        <w:jc w:val="both"/>
        <w:rPr>
          <w:rFonts w:ascii="Times New Roman;serif" w:hAnsi="Times New Roman;serif"/>
          <w:b w:val="false"/>
          <w:i/>
          <w:color w:val="000000"/>
          <w:sz w:val="20"/>
        </w:rPr>
      </w:pPr>
      <w:r>
        <w:rPr>
          <w:rFonts w:ascii="Times New Roman;serif" w:hAnsi="Times New Roman;serif"/>
          <w:b w:val="false"/>
          <w:i/>
          <w:color w:val="000000"/>
          <w:sz w:val="20"/>
        </w:rPr>
        <w:t>Louisville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Derby City Gaming &amp; Hotel ("Derby City Gaming") opened in September 2018 in Louisville, Kentucky. Derby City Gaming is a state-of-the-art HRM facility located at the Churchill Downs Racetrack auxiliary training facility and has a center bar with large format televisions, two food venues, an open-air gaming patio, and a retail sportsbook.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Derby City Gaming was expanded in the second quarter of 2023. The expansion included a 123-room hotel, a VIP gaming area, a sports bar, a stage for live entertainment, and an upscale restaurant and bar.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Derby City Gaming Downtown ("DCG Downtown") opened in December 2023 in downtown Louisville, Kentucky. DCG Downtown has a gaming area, a main-level sports bar with a stage for live entertainment, a premium bourbon bar, an elegant wine lounge for guests, including locals, tourists, and convention attendees, and a retail sportsbook.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Northern Kentucky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Newport Racing &amp; Gaming ("Newport") opened in October 2020 and is located within three miles of Cincinnati, Ohio. Newport is an HRM entertainment venue that includes a simulcast area, food and beverage offerings, and a retail sportsbook.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Turfway Park Racing &amp; Gaming ("Turfway Park") opened in September 2022 in Northern Kentucky. Turfway Park is a state-of-the-art live thoroughbred racing and HRM entertainment venue with an event center,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Southwestern Kentucky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Oak Grove Racing, Gaming &amp; Hotel ("Oak Grove") opened in 2020 and is located approximately one-hour north of Nashville, Tennessee. Oak Grove is a premier live harness racing and HRM entertainment venue with a 151-room hotel, an event center, an amphitheater, recreational vehicle park, equestrian center, a retail sportsbook and a simulcast wagering area.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Marshall Yards Racing &amp; Gaming ("Marshall Yards") held its grand opening on February 25, 2026 in Calvert City, Kentucky. The new state-of-the-art HRM entertainment venue has 225 HRMs, food and beverage offerings, a retail sportsbook, and a simulcast wagering area. </w:t>
      </w:r>
    </w:p>
    <w:p>
      <w:pPr>
        <w:pStyle w:val="TextBody"/>
        <w:bidi w:val="0"/>
        <w:spacing w:lineRule="auto" w:line="276" w:before="60" w:after="120"/>
        <w:jc w:val="both"/>
        <w:rPr>
          <w:rFonts w:ascii="Times New Roman;serif" w:hAnsi="Times New Roman;serif"/>
          <w:b w:val="false"/>
          <w:i/>
          <w:color w:val="000000"/>
          <w:sz w:val="20"/>
        </w:rPr>
      </w:pPr>
      <w:r>
        <w:rPr>
          <w:rFonts w:ascii="Times New Roman;serif" w:hAnsi="Times New Roman;serif"/>
          <w:b w:val="false"/>
          <w:i/>
          <w:color w:val="000000"/>
          <w:sz w:val="20"/>
        </w:rPr>
        <w:t>Western Kentucky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Ellis Park Racing &amp; Gaming ("Ellis Park") was acquired by the Company in September 2022 and is located five miles from Evansville, Indiana. Ellis Park is a live thoroughbred racing and HRM entertainment venue with food and beverage offerings, a retail sportsbook, and a simulcast wagering area.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Owensboro Racing &amp; Gaming ("Owensboro") opened in February 2025 in Owensboro, Kentucky with 600 HRMs, food and beverage offerings, a retail sportsbook, and a simulcast wagering area.</w:t>
      </w:r>
    </w:p>
    <w:p>
      <w:pPr>
        <w:pStyle w:val="TextBody"/>
        <w:bidi w:val="0"/>
        <w:spacing w:lineRule="auto" w:line="276" w:before="6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Virginia</w:t>
      </w:r>
    </w:p>
    <w:p>
      <w:pPr>
        <w:pStyle w:val="TextBody"/>
        <w:bidi w:val="0"/>
        <w:spacing w:lineRule="auto" w:line="276" w:before="60" w:after="120"/>
        <w:jc w:val="both"/>
        <w:rPr>
          <w:rFonts w:ascii="Times New Roman;serif" w:hAnsi="Times New Roman;serif"/>
          <w:b w:val="false"/>
          <w:i/>
          <w:color w:val="000000"/>
          <w:sz w:val="20"/>
        </w:rPr>
      </w:pPr>
      <w:r>
        <w:rPr>
          <w:rFonts w:ascii="Times New Roman;serif" w:hAnsi="Times New Roman;serif"/>
          <w:b w:val="false"/>
          <w:i/>
          <w:color w:val="000000"/>
          <w:sz w:val="20"/>
        </w:rPr>
        <w:t>Northern Virginia</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The Rose Gaming Resort ("The Rose") in Dumfries, Virginia was opened by the Company in November 2024 with 1,650 HRMs, a 102-room hotel, eight food and beverage offerings, and a simulcast wagering area. The Company consolidated the Dumfries HRM venue in Dumfries, Virginia into The Rose in August 2025.</w:t>
      </w:r>
    </w:p>
    <w:p>
      <w:pPr>
        <w:pStyle w:val="TextBody"/>
        <w:bidi w:val="0"/>
        <w:spacing w:lineRule="auto" w:line="276" w:before="60" w:after="120"/>
        <w:jc w:val="both"/>
        <w:rPr>
          <w:rFonts w:ascii="Times New Roman;serif" w:hAnsi="Times New Roman;serif"/>
          <w:b w:val="false"/>
          <w:i/>
          <w:color w:val="000000"/>
          <w:sz w:val="20"/>
        </w:rPr>
      </w:pPr>
      <w:r>
        <w:rPr>
          <w:rFonts w:ascii="Times New Roman;serif" w:hAnsi="Times New Roman;serif"/>
          <w:b w:val="false"/>
          <w:i/>
          <w:color w:val="000000"/>
          <w:sz w:val="20"/>
        </w:rPr>
        <w:t>Central Virginia</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Rosie’s Richmond in Richmond, Virginia was opened in June 2019 and acquired by the Company in November 2022. Rosie's Richmond was expanded in 2025 and now features 1,200 HRMs, food and beverage offerings, a center bar, and a simulcast wagering area.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Colonial Downs Racetrack ("Colonial Downs") in New Kent, Virginia was opened in June 2019 and acquired by the Company in November 2022. Colonial Downs has a dirt track, the widest turf track oval in North America, food and beverage offerings, a simulcast wagering area, and one off-track betting facility ("OTB"). Colonial Downs conducts approximately 30 - 40 live race days each year with plans to increase up to 50 live race days per year. The Company created the Virginia Derby in March of each year as a qualifying race to the Kentucky Derby.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Roseshire Gaming Parlor ("Roseshire") in Henrico County, Virginia was opened by the Company in September 2025 with 175 HRMs, food and beverage offerings, and a simulcast wagering area.</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Southern Virginia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Rosie’s Hampton in Hampton, Virginia was opened in October 2019 and acquired by the Company in November 2022 and features 700 HRMs, food and beverage offerings, and a simulcast wagering area.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Rosie's Emporia in Emporia, Virginia was opened in September 2023 with 150 HRMs, food and beverage offerings, and a simulcast wagering area.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Rosie's Collinsville in Collinsville, Virginia was opened in July 2021 and acquired by the Company in November 2022 and features approximately 40 HRMs and a simulcast wagering area.</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Western Virginia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Rosie’s Vinton in Vinton, Virginia was opened in May 2019 and acquired by the Company in November 2022 and features 470 HRMs, food and beverage offerings, and a simulcast wagering area.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6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New Hampshire </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acquired 90% of the outstanding equity interests related to Casino Salem in Salem, New Hampshire in August 2025. The Company announced in January 2026 that Casino Salem will be redeveloped as Rockingham Grand Casino ("Rockingham"). Rockingham will occupy a 160,000 square-foot facility at Rockingham Mall. The venue will feature 825 historical racing machines, 32 table games, 12 electronic table game seats, a 900-seat live entertainment venue, food and beverage offerings, including a center bar and full-service sports bar and restaurant. The Company plans to open Rockingham in mid-2027 with an expected capital investment of $180-200 million.</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Chasers Poker Room ("Chasers") in Salem, New Hampshire was acquired in 2022. Chasers is a charitable gaming facility that offers poker and a variety of table games.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Wagering Services and Solutions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Wagering Services and Solutions segment includes the revenue and expenses from TwinSpires, United Tote Company ("United Tote"), Exacta Systems, LLC ("Exacta"), and sports betting.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TwinSpires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TwinSpires is an advance deposit wagering ("ADW") business that operates the online horse racing wagering business for TwinSpires.com, BetAmerica.com, and other white-label platforms, facilitates high dollar wagering by certain customers, and provides the Bloodstock Research Information Services platform for horse racing statistical data. TwinSpires is one of the largest and most profitable legal online horse racing wagering platforms in the U.S. TwinSpires is headquartered in Louisville, Kentucky. TwinSpires accepts pari-mutuel wagers through ADW from customers residing in certain states who establish and fund an account from which these customers may place wagers via telephone, mobile applications, or through the Internet. This business is licensed as a multi-jurisdictional simulcasting and interactive wagering hub in the state of Oregon and holds licenses from various other states where applicable. This business also offers customers streaming video of live horse races, replays, and an assortment of racing and handicapping information. BetAmerica.com is an online wagering business licensed under TwinSpires that offers wagering on horse racing throughout the U.S. We also provide technology services to third parties, including FanDuel and DraftKings, and we earn commissions from white label ADW products and services. Under these arrangements, we typically provide an ADW platform and related operational services while the third-party typically provides the brand, marketing, and limited customer functions.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United Tote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United Tote manufactures and operates pari-mutuel wagering systems for racetracks, OTBs, and other pari-mutuel wagering businesses. United Tote provides totalisator services which accumulate wagers, calculate payoffs, and display wagering data to patrons who wager on horse races. United Tote has contracts to provide totalisator services to several third-party racetracks, OTBs, and other pari-mutuel wagering businesses and provides these services at our facilities. </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April 2024, the Company completed the sale of 49% of United Tote, a wholly owned subsidiary of CDI, to NYRA Content Management Solutions, LLC ("NYRA"), a subsidiary of the New York Racing Association, Inc.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Exacta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Exacta was acquired by the Company in August 2023. Exacta is a leading provider of central determinant system technology in HRMs across the country. Exacta's system architecture supports multiple game vendors and virtually unlimited math modeling capabilities on a single central determinant system enabling Exacta to deliver a diverse gaming library to Company owned and third-party HRM entertainment venues in Virginia, Kentucky, Wyoming, New Hampshire, Kansas, and Alabama. Exacta is also expanding internationally.</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Sports Betting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sports betting business includes the results of our retail sportsbooks at our wholly owned properties and online sports betting through third parties. We have executed strategic third-party market access agreements with Bet365 in Pennsylvania, Golden Nugget in Indiana, and with various market access partners in Kentucky.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Gaming</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Gaming segment includes revenue and expenses for the casino properties and associated racetracks which support the casino license. The Gaming segment generates revenue and expenses from slot machines, table games, video lottery terminals ("VLTs"), video poker, HRMs, ancillary food and beverage services, hotel services, commission on pari-mutuel wagering, racing event-related services, and other miscellaneous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key information regarding our gaming properties: </w:t>
      </w:r>
    </w:p>
    <w:tbl>
      <w:tblPr>
        <w:tblW w:w="10205" w:type="dxa"/>
        <w:jc w:val="left"/>
        <w:tblInd w:w="0" w:type="dxa"/>
        <w:tblLayout w:type="fixed"/>
        <w:tblCellMar>
          <w:top w:w="28" w:type="dxa"/>
          <w:left w:w="28" w:type="dxa"/>
          <w:bottom w:w="28" w:type="dxa"/>
          <w:right w:w="28" w:type="dxa"/>
        </w:tblCellMar>
      </w:tblPr>
      <w:tblGrid>
        <w:gridCol w:w="169"/>
        <w:gridCol w:w="148"/>
        <w:gridCol w:w="148"/>
        <w:gridCol w:w="391"/>
        <w:gridCol w:w="391"/>
        <w:gridCol w:w="419"/>
        <w:gridCol w:w="749"/>
        <w:gridCol w:w="696"/>
        <w:gridCol w:w="698"/>
        <w:gridCol w:w="195"/>
        <w:gridCol w:w="195"/>
        <w:gridCol w:w="196"/>
        <w:gridCol w:w="407"/>
        <w:gridCol w:w="343"/>
        <w:gridCol w:w="345"/>
        <w:gridCol w:w="555"/>
        <w:gridCol w:w="555"/>
        <w:gridCol w:w="557"/>
        <w:gridCol w:w="282"/>
        <w:gridCol w:w="282"/>
        <w:gridCol w:w="283"/>
        <w:gridCol w:w="279"/>
        <w:gridCol w:w="279"/>
        <w:gridCol w:w="280"/>
        <w:gridCol w:w="395"/>
        <w:gridCol w:w="395"/>
        <w:gridCol w:w="573"/>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6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Acres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Casino Space (Sq. ft.)</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Slots and Video Lottery Terminals</w:t>
            </w:r>
            <w:r>
              <w:rPr>
                <w:rFonts w:ascii="Times New Roman;serif" w:hAnsi="Times New Roman;serif"/>
                <w:b/>
                <w:color w:val="000000"/>
                <w:sz w:val="13"/>
              </w:rPr>
              <w:t>(a)</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Games</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Hotel Rooms</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Retail Sportsbook</w:t>
            </w:r>
            <w:r>
              <w:rPr>
                <w:rFonts w:ascii="Times New Roman;serif" w:hAnsi="Times New Roman;serif"/>
                <w:b/>
                <w:color w:val="000000"/>
                <w:sz w:val="13"/>
              </w:rPr>
              <w:t>(b)</w:t>
            </w:r>
          </w:p>
        </w:tc>
      </w:tr>
      <w:tr>
        <w:trPr/>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Wholly owned </w:t>
            </w:r>
          </w:p>
        </w:tc>
        <w:tc>
          <w:tcPr>
            <w:tcW w:w="2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Calder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Terre Haute Casino Resort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Iowa</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Grounds Race Course and Slots and Video Services LLC</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Oxford Casino and Hotel</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 Downs Casino and Racetrack</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Harlow's Casino Resort and Spa</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Casino Hotel</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 Lago Resort and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Presque Isle Downs and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Investments</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Rivers Casino Des Plaines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Miami Valley Gaming and Racing</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646,000</w:t>
            </w:r>
          </w:p>
        </w:tc>
        <w:tc>
          <w:tcPr>
            <w:tcW w:w="166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w:t>
            </w:r>
          </w:p>
        </w:tc>
        <w:tc>
          <w:tcPr>
            <w:tcW w:w="84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83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715" w:type="dxa"/>
            <w:gridSpan w:val="12"/>
            <w:tcBorders/>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715" w:type="dxa"/>
            <w:gridSpan w:val="12"/>
            <w:tcBorders/>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715" w:type="dxa"/>
            <w:gridSpan w:val="12"/>
            <w:tcBorders/>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71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Includes video poker machines at Fair Grounds Race Course and Slots and Video Services LLC.</w:t>
      </w:r>
    </w:p>
    <w:p>
      <w:pPr>
        <w:pStyle w:val="TextBody"/>
        <w:bidi w:val="0"/>
        <w:spacing w:lineRule="auto" w:line="268" w:before="60" w:after="12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The Company's retail sports betting business at its wholly owned properties is included in the Wagering Services and Solutions segment.</w:t>
      </w:r>
    </w:p>
    <w:p>
      <w:pPr>
        <w:pStyle w:val="TextBody"/>
        <w:bidi w:val="0"/>
        <w:spacing w:lineRule="auto" w:line="268" w:before="6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Wholly owned gaming properties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Florida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Calder Casino ("Calder") in Miami Gardens, Florida is located near Hard Rock Stadium, home of the Miami Dolphins. Calder is a gaming facility with food and beverage offerings and an entertainment venue. Calder is located on 54 acres of land, and the Company may sell 15-20 acres of this land in the future for retail development.</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Indiana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Terre Haute Casino Resort ("Terre Haute") was opened by the Company in April 2024 and a hotel was opened by the Company in May 2024 in Terre Haute, Indiana. Terre Haute is a gaming facility with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Iowa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Hard Rock Hotel and Casino in Sioux City, Iowa ("Hard Rock Iowa") was acquired in November 2022 and is a gaming facility with a hotel, food and beverage offerings, entertainment venues, and a retail sportsbook.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Louisiana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Fair Grounds Race Course &amp; Slots ("Fair Grounds") in New Orleans, Louisiana is a gaming facility and racecourse with food and beverage offerings, a simulcast wagering area, dirt and turf track, and stabling area. Fair Grounds conducts approximately 75 live racing days each year. The facility includes clubhouse and grandstand seating for approximately 5,000 guests, a general admissions area, food and beverage offerings, and a retail sportsbook. The stable area consists of barns that can accommodate approximately 1,900 horses and living quarters for approximately 130 people. Fair Grounds also owns and operates 13 OTBs. Video Services LLC ("VSI") is the owner and operator of video poker machines in all 13 of those OTBs in Louisiana.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Maine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Oxford Casino and Hotel in Oxford, Maine is a gaming facility with a hotel,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Maryland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Ocean Downs Casino and Racetrack ("Ocean Downs") in Berlin, Maryland is a gaming facility with food and beverage offerings, a retail sportsbook, and a racetrack that conducts approximately 45 live harness racing days each year.</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Mississippi</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Harlow’s Casino Resort and Spa in Greenville, Mississippi is a gaming facility with a hotel, food and beverage offerings, and a retail sportsbook.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Riverwalk Casino Hotel in Vicksburg, Mississippi is a gaming facility with a hotel,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New York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Del Lago Resort and Casino ("del Lago") in Waterloo, New York was acquired by the Company in November 2022. Del Lago is a gaming facility with a hotel,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Pennsylvania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Presque Isle Downs and Casino ("Presque Isle") in Erie, Pennsylvania is a gaming facility with food and beverage options, an entertainment venue, a retail sportsbook, and thoroughbred racetrack that conducts approximately 80 live racing days each year.</w:t>
      </w:r>
    </w:p>
    <w:p>
      <w:pPr>
        <w:pStyle w:val="TextBody"/>
        <w:bidi w:val="0"/>
        <w:spacing w:lineRule="auto" w:line="288" w:before="6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Investments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Illinois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61.3% equity ownership in Midwest Gaming Holdings, LLC ("Midwest Gaming"), the parent company of Rivers Casino Des Plaines ("Rivers Des Plaines"). Rivers Des Plaines in Des Plaines, Illinois is a gaming facility with food and beverage offerings, a ballroom for private events and live entertainment, and a retail sportsbook.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Ohio</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50% equity investment in Miami Valley Gaming and Racing ("MVG"). MVG is located just north of Cincinnati, Ohio and is a gaming entertainment venue with a harness racetrack, food and beverage offerings, a simulcast wagering area, and a retail sportsbook.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All Other includes our captive insurance company and certain corporate operations.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Corporate includes miscellaneous and other revenue, compensation expense, professional fees, and other general and administrative expense not allocated to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industry. The industry faces competition for discretionary consumer spending from a variety of sources, including spectator sports, sports wagering, and other entertainment and gaming options.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Legalized gambling is currently permitted in various forms in many states in the U.S. Additional states in the U.S. could legalize gambling in the future, and established gaming jurisdictions could award additional gaming licenses or permit the expansion of existing gaming operations. If additional gaming opportunities become available near our racing or gaming operations, such gaming operations could have a material adverse impact on our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Live and Historical Racing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2025, approximately 29,000 thoroughbred horse races were conducted in the U.S., which was down 4.7% compared to 2024. As a racetrack operator, we compete for horses with other racetracks running live racing meets at or near the same time as our races. Our ability to compete is substantially dependent on the racing calendar, number of horses racing, and purse sizes. As a content provider, we compete for wagering dollars in the simulcast market with other racetracks conducting races at or near the same times as our races. In recent years, competition has increased as more states legalize gaming and allow slot machines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racetracks with mandatory purse contributions. Our HRM entertainment venues in Kentucky, Virginia, and New Hampshire compete with regional casinos in the area and other forms of legal and illegal gaming.</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Wagering Services and Solutions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TwinSpires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TwinSpires competes with other ADW businesses for both customers and racing content, as well as brick-and-mortar racetracks, casinos, OTBs, and other forms of legal and illegal sports betting.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Exacta</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Exacta competes with HRM and other central determinant systems providers for casino and racino operations.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Sports Betting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retail sports betting business competes for customers with retail, mobile, and online offerings from commercial brick-and-mortar casinos and racetracks. We also compete with daily fantasy sports gaming companies that are expanding into mobile and online sports betting and iGaming, international sports betting businesses looking to expand into the U.S. market, and other forms of legal and illegal sports betting and iGaming operations.</w:t>
      </w:r>
    </w:p>
    <w:p>
      <w:pPr>
        <w:pStyle w:val="TextBody"/>
        <w:bidi w:val="0"/>
        <w:spacing w:lineRule="auto" w:line="268" w:before="60" w:after="120"/>
        <w:jc w:val="both"/>
        <w:rPr>
          <w:rFonts w:ascii="Times New Roman;serif" w:hAnsi="Times New Roman;serif"/>
          <w:b/>
          <w:i/>
          <w:color w:val="000000"/>
          <w:sz w:val="20"/>
        </w:rPr>
      </w:pPr>
      <w:r>
        <w:rPr>
          <w:rFonts w:ascii="Times New Roman;serif" w:hAnsi="Times New Roman;serif"/>
          <w:b/>
          <w:i/>
          <w:color w:val="000000"/>
          <w:sz w:val="20"/>
        </w:rPr>
        <w:t>Gaming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Gaming properties operate in highly competitive environments. Our brick-and-mortar casinos compete with traditional and Native American casinos, VLTs, state sponsored lotteries, online gambling, and other forms of legalized and illegal gaming in the U.S. and other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Human Capital - Our People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people are essential to our operations and fundamental to the long-term success of our Company. </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9,000 team members, including approximately 6,600 that are full-time. We also have seasonal employees primarily in the second quarter, coinciding with the Kentucky Derby.</w:t>
      </w:r>
    </w:p>
    <w:p>
      <w:pPr>
        <w:pStyle w:val="TextBody"/>
        <w:bidi w:val="0"/>
        <w:spacing w:lineRule="auto" w:line="276" w:before="120" w:after="180"/>
        <w:jc w:val="both"/>
        <w:rPr>
          <w:rFonts w:ascii="Times New Roman;serif" w:hAnsi="Times New Roman;serif"/>
          <w:b w:val="false"/>
          <w:color w:val="000000"/>
          <w:sz w:val="20"/>
        </w:rPr>
      </w:pPr>
      <w:r>
        <w:rPr>
          <w:rFonts w:ascii="Times New Roman;serif" w:hAnsi="Times New Roman;serif"/>
          <w:b w:val="false"/>
          <w:color w:val="000000"/>
          <w:sz w:val="20"/>
        </w:rPr>
        <w:t>As of the same date, approximately 840 of the Company's full-time team members were covered by 11 collective bargaining agreements. We have not experienced any material operational disruptions due to labor disputes.</w:t>
      </w:r>
    </w:p>
    <w:p>
      <w:pPr>
        <w:pStyle w:val="TextBody"/>
        <w:bidi w:val="0"/>
        <w:spacing w:lineRule="auto" w:line="276" w:before="120" w:after="180"/>
        <w:jc w:val="both"/>
        <w:rPr>
          <w:rFonts w:ascii="Times New Roman;serif" w:hAnsi="Times New Roman;serif"/>
          <w:b/>
          <w:i/>
          <w:color w:val="000000"/>
          <w:sz w:val="20"/>
        </w:rPr>
      </w:pPr>
      <w:r>
        <w:rPr>
          <w:rFonts w:ascii="Times New Roman;serif" w:hAnsi="Times New Roman;serif"/>
          <w:b/>
          <w:i/>
          <w:color w:val="000000"/>
          <w:sz w:val="20"/>
        </w:rPr>
        <w:t>Talent Acquisition, Development and Retention</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We are committed to attracting, developing, and retaining top talent. Our approach emphasizes a clear purpose and strategy, setting ambitious goals, fostering accountability, continuously assessing and advancing talent, and driving a leadership-led culture of growth. We provide opportunities for team members to expand their expertise within their current roles while also encouraging skill development across different areas of the Company.</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Talent reviews and succession planning are conducted regularly with our Chief Executive Officer and Board of Directors, with a focus on accelerating career development, strengthening leadership pipelines, and fostering a breadth of perspectives and experiences within our workforce.</w:t>
      </w:r>
    </w:p>
    <w:p>
      <w:pPr>
        <w:pStyle w:val="TextBody"/>
        <w:bidi w:val="0"/>
        <w:spacing w:lineRule="auto" w:line="276" w:before="120" w:after="180"/>
        <w:jc w:val="both"/>
        <w:rPr>
          <w:rFonts w:ascii="Times New Roman;serif" w:hAnsi="Times New Roman;serif"/>
          <w:b/>
          <w:i/>
          <w:color w:val="000000"/>
          <w:sz w:val="20"/>
        </w:rPr>
      </w:pPr>
      <w:r>
        <w:rPr>
          <w:rFonts w:ascii="Times New Roman;serif" w:hAnsi="Times New Roman;serif"/>
          <w:b/>
          <w:i/>
          <w:color w:val="000000"/>
          <w:sz w:val="20"/>
        </w:rPr>
        <w:t>Compensation, Benefits, Safety and Wellness</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offer competitive salaries and wages and provide comprehensive health and retirement benefits, as well as voluntary benefits and paid time-off programs to eligible team members. </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provide supplementary benefits aimed at promoting physical, emotional, and financial well-being. The safety of our team members, customers, and community remains a top priority, and we have established safety programs across all our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Governmental Regulations and Potential Legislative Changes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federal, state, local, and international laws and regulations that affect our businesses. The ownership, operation, and management of our Live and Historical Racing, Wagering Services and Solutions, and Gaming segments are subject to regulation under the laws and regulations of each of the jurisdictions in which we operate. Our businesses and properties are also subject to legislative actions at both the federal and state level.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Live and Historical Racing Regulations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Horse racing is a highly regulated industry. In the U.S., interstate pari-mutuel wagering on horse racing is subject to the Interstate Horseracing Act of 1978, as amended in 2000 ("IHA"). Under the IHA, racetracks and ADWs can accept interstate off-track wagers if the racetracks and ADWs have approvals from (1) the host horse racetrack including a written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with the horsemen’s group, if applicable, (2) the host racing commission, and (3) the off-track racing commission. If these requirements are met, racetracks can commingle wagers from different racetracks and wagering facilities and broadcast horse racing events to other licensed establishments.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individual states regulate the operations of racetracks located within their respective jurisdictions with the intent to, among other things, protect the public from unfair and illegal gambling practices, generate tax revenue, license racetracks and operators and prevent organized crime from being involved in the industry. Although the specific form may vary, states that regulate horse racing generally do so through a horse racing commission or other gambling regulatory authority. In general, regulatory authorities perform background checks on all racetrack owners prior to granting the necessary operating licenses. Horse owners, trainers, jockeys, drivers, stewards, judges, and backside personnel are also subject to licensing by governmental authorities.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number of days on which each racetrack conducts live racing may fluctuate annually based on applications and approvals.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Louisiana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Louisiana, the 2021 Historical Horse Racing Act (the "2021 HHR Act") allows off-track betting facilities ("OTBs") to have up to 50 HRMs. On October 25, 2022, a number of individual plaintiffs associated with video poker and truck stops, filed a lawsuit in the 19th Judicial District Court in East Baton Rouge, Louisiana against certain racetracks in Louisiana, including our Fair Grounds Race Course and Slots property, alleging that the 2021 HHR Act is unconstitutional to the extent it purports to permit historical racing in a parish without a referendum.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was entered on March 18, 2024, and the Company, along with other interested parties including the Louisiana Racing Commission, filed a joint motion for a suspensive appeal on March 26, 2024. The suspensive appeal allowed the continued operation of HHR during the pendency of the appeal before the Louisiana Supreme Court. The Louisiana Supreme Court issued an opinion on March 21, 2025 affirming the ruling of the District Court, which stated the 2021 HHR Act is unconstitutional, and that before historical horse racing is licensed or permitted to be conducted in a parish it first requires a voter referendum in the applicable parish. The Louisiana Supreme Court denied the Company's Application for Rehearing on May 8, 2025. The opinion became final and enforceable as of this date, at which time the Company discontinued its HRM operations in Louisiana and moved the HRMs in the Louisiana OTBs to other HRM venues, primarily located in Virginia. The reduction in revenues resulting from the removal of the HRMs from our OTBs in Louisiana has negatively impacted the comparability of the 2025 Louisiana results to the prior year. The results of the HRMs in Louisiana operations were reported in our Gaming segment.</w:t>
      </w:r>
    </w:p>
    <w:p>
      <w:pPr>
        <w:pStyle w:val="TextBody"/>
        <w:bidi w:val="0"/>
        <w:spacing w:lineRule="auto" w:line="288" w:before="60" w:after="120"/>
        <w:jc w:val="both"/>
        <w:rPr/>
      </w:pPr>
      <w:r>
        <w:rPr>
          <w:rFonts w:ascii="Times New Roman;serif" w:hAnsi="Times New Roman;serif"/>
          <w:b/>
          <w:i/>
          <w:color w:val="000000"/>
          <w:sz w:val="20"/>
        </w:rPr>
        <w:t>Wagering Services and Solutions</w:t>
      </w:r>
      <w:r>
        <w:rPr>
          <w:color w:val="000000"/>
        </w:rPr>
        <w:t xml:space="preserve"> </w:t>
      </w:r>
      <w:r>
        <w:rPr>
          <w:rFonts w:ascii="Times New Roman;serif" w:hAnsi="Times New Roman;serif"/>
          <w:b/>
          <w:i/>
          <w:color w:val="000000"/>
          <w:sz w:val="20"/>
        </w:rPr>
        <w:t>Regulations and Potential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TwinSpires is licensed in Oregon under a multi-jurisdictional simulcasting and interactive wagering totalisator hub license issued by the Oregon Racing Commission in accordance with Oregon law and the IHA. We also hold ADW licenses in certain other states where appropriate. Changes in the form of new legislation or regulatory activity at the state or federal level could adversely impact our mobile and online ADW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Exacta holds licenses in several jurisdictions to provide HRM technology to facilities that operate HRMs. Changes in legislation or regulation in these jurisdictions to enable other forms of gaming could adversely impact our Exacta business.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Sports Betting and iGaming Regulations and Potential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2018, the United States Supreme Court struck down the 1992 Professional and Amateur Sports Protection Act, which had effectively banned sports wagering in most states. Removal of the ban gave states the authority to authorize sports wagering. Sports betting has been authorized and is operational in thirty-nine states and the District of Columbia as of December 31, 2025. Each state has different structures for the number of allowable industry participants, license fees, taxes, and other operational requirements and some states have recently passed legislature to increase taxes related to sports betting.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and the entities in which it holds investments are operational in eleven states for retail sports betting.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iGaming is authorized and operational in seven states including Pennsylvania, Michigan, Connecticut, New Jersey, West Virginia, Delaware, and Rhode Island. Maine authorized iGaming in January 2026; however, it is unclear when iGaming will be operational in Maine. Other states have iGaming bills proposed in their jurisdictions. If iGaming is authorized and becomes operational in any of the states where we have brick-and-mortar casinos or HRM venues, it could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Prediction markets are an emerging category of event-based contracts that allow participants to take positions on the outcome of future events, including sporting events, and are currently subject to regulation by the Commodity Futures Trading Commission. However, a number of states and state regulators have taken the position that certain prediction market contracts, particularly those based on sporting events, are subject to state gambling and gaming laws. Related litigation and regulatory proceedings are ongoing.</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Gaming Regulations and Potential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gaming industry is a highly regulated industry. In the U.S., gaming laws are generally designed to protect consumers and the viability and integrity of the industry. Gaming laws may also be designed to protect and maximize state and local revenue derived through taxes and licensing fees imposed on industry participants as well as to enhance economic development and tourism. To accomplish these public policy goals, gaming laws establish procedures to ensure that participants in the industry meet certain standards of character and fitness. Gaming laws require industry participants to: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Ensure that unsuitable individuals and organizations have no role in gaming operations,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Establish procedures designed to prevent cheating and fraudulent practices,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Establish and maintain responsible accounting practices and procedures,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Maintain effective controls over financial practices, including establishment of minimum procedures for internal fiscal affairs and the safeguarding of assets and 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Maintain systems for reliable record keeping,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File periodic reports with gaming regulators,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Ensure that contracts and financial transactions are commercially reasonable, reflect fair market value and are arms-length transactions,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Establish programs to promote responsible gambling and inform patrons of the availability of help for problem gambling,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Enforce minimum age requirements.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 state regulatory environment is established by statute and administered by a regulatory agency with broad discretion to regulate the affairs of owners, managers, and persons with financial interests in gaming operations. Gaming authorities in the various jurisdictions in which we operate: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Adopt rules and regulations under the implementing statutes,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Interpret and enforce gaming laws,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Impose disciplinary sanctions for violations, including fines and penalties,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 the character and fitness of participants in gaming operations and make determinations regarding suitability or qualification for licensure,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Grant licenses for participation in gaming operations,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Collect and review reports and information submitted by participants in gaming operations,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 and approve transactions, such as acquisitions or change-of-control transactions of gaming industry participants, securities offerings, and debt transactions engaged in by such participants,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Establish and collect fees and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Any change in the gaming laws or regulations of a jurisdiction could have a material adverse impact on our gaming operations.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Licensing and Suitability Determinations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Gaming laws require us, each of our subsidiaries engaged in gaming operations, certain of our directors, officers and employees, and in some cases, certain of our shareholders, to obtain licenses from gaming authorities. Licenses typically require a determination that the applicant qualifies or is suitable to hold the license. Gaming authorities have very broad discretion in determining whether an applicant qualifies for licensing or should be deemed suitable. Criteria used in determining whether to grant a license to conduct gaming operations, while varying between jurisdictions, generally include consideration of factors such as the good character, honesty, and integrity of the applicant; the financial stability, integrity, and responsibility of the applicant, including whether the operation is adequately capitalized in the state and exhibits the ability to maintain adequate insurance levels; the quality of the applicant’s gaming facilities; the amount of revenue to be derived by the applicable state from the operation of the applicant’s gaming facility; the applicant’s practices with respect to minority hiring and training;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effect on competition and general impact on the community.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evaluating individual applicants, gaming authorities consider the individual’s business experience and reputation for good character, the individual’s criminal history, and the character of those with whom the individual associates.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Many gaming jurisdictions limit the number of licenses granted to operate gaming facilities within the state and some states limit the number of licenses granted to any one gaming operator. Licenses under gaming laws are generally not transferable without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impact on our gaming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Gaming authorities may investigate any subsidiary engaged in gaming operations and may investigate any individual who has a material relationship to or material involvement with any of these entities to determine whether such individual is suitable or should be licensed as a business associate of a gaming licensee. Our officers, directors, and certain key employees must file applications with the gaming authorities and may be required to be licensed, qualify, or be found suitable in many jurisdictions. Gaming authorities may deny an application for licensing for any cause that they deem reasonable. Qualification and suitability determinations require submission of detailed personal and financial information followed by a thorough investigation. Changes in licensed positions must be reported to gaming authorities. Gaming authorities can deny a license, qualification, or finding of suitability and have jurisdiction to disapprove a change in a corporate position.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one or more gaming authorities were to find that an officer, director, or key employee fails to qualify or is unsuitable for licensing or unsuitable to continue having a relationship with us, we would be required to sever all relationships with such person. Gaming authorities may also require us to terminate the employment of any person who refuses to file appropriate applications.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many jurisdictions, certain of our shareholders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may be required to apply for qualification or a finding of suitability. Most gaming authorities, however, allow an "institutional investor" to apply for a waiver.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person who fails or refuses to apply for a finding of suitability or a license within the prescribed period after being advised it is required by gaming authorities may be denied a license or found unsuitable, as applicable. Any shareholder found unsuitable or denied a license and who holds, directly or indirectly, any beneficial ownership of our voting securities beyond such period of time as may be prescribed by the applicable gaming authorities may be guilty of a criminal offense. We may be subject to disciplinary action if, after we receive notice that a person is unsuitable to be a shareholder or to have any other relationship with us or any of our subsidiaries, we: </w:t>
      </w:r>
    </w:p>
    <w:p>
      <w:pPr>
        <w:pStyle w:val="TextBody"/>
        <w:bidi w:val="0"/>
        <w:spacing w:lineRule="auto" w:line="288" w:before="6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     pay that person any dividend or interest upon our voting securities, </w:t>
      </w:r>
    </w:p>
    <w:p>
      <w:pPr>
        <w:pStyle w:val="TextBody"/>
        <w:bidi w:val="0"/>
        <w:spacing w:lineRule="auto" w:line="288" w:before="6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     allow that person to exercise, directly or indirectly, any voting right conferred through securities held by that person, </w:t>
      </w:r>
    </w:p>
    <w:p>
      <w:pPr>
        <w:pStyle w:val="TextBody"/>
        <w:bidi w:val="0"/>
        <w:spacing w:lineRule="auto" w:line="288" w:before="6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(iii)     pay remuneration in any form to that person for services rendered or otherwise, or </w:t>
      </w:r>
    </w:p>
    <w:p>
      <w:pPr>
        <w:pStyle w:val="TextBody"/>
        <w:bidi w:val="0"/>
        <w:spacing w:lineRule="auto" w:line="288" w:before="6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     fail to pursue all lawful efforts to require such unsuitable person to relinquish voting securities including, if necessary, the immediate purchase of said voting securities for cash at fair market value.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Violations of Gaming Laws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we violate applicable gaming laws, our gaming licenses could be limited, conditioned, suspended, or revoked by gaming authorities, and we and any other persons involved could be subject to substantial fines. A supervisor or conservator can be appointed by gaming authorities to operate our gaming properties, or in some jurisdictions, take title to our gaming assets in the jurisdiction, and under certain circumstances, income generated during such appointment could be forfeited to the applicable state or states. Violations of laws in one jurisdiction could result in disciplinary action in other jurisdictions. As a result, violations by us of applicable gaming laws could have a material adverse impact on our gaming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Some jurisdictions prohibit certain types of political activity by a gaming licensee, officers, directors, and key employees. A violation of such a prohibition may subject the offender to criminal and/or disciplinary action.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Reporting and Record-Keeping Requirements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periodically to submit detailed financial and operating reports and furnish any other information that gaming authorities may require. Under federal law, we are required to record and submit detailed reports of currency transactions greater than $10,000 at our gaming facilities and racetracks as well as any suspicious activity that may occur at such facilities. Failure to comply with these requirements could result in fines or cessation of operations. We are required to maintain a current stock ledger that may be examined by gaming authorities at any time. If any securities are held in trust by an agent or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Review and Approval of Transactions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material loans, leases, sales of securities, and similar financing transactions must be reported to and in some cases approved by gaming authorities. We may not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shareholders, officers, directors, and other persons having a material relationship or involvement with the entity proposing to acquire control, to be investigated and licensed as part of the approval process relating to the transaction.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License Fees and Gaming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pay substantial license fees and taxes in many jurisdictions in connection with our gaming operations which are computed in various ways depending on the type of gambling or activity involved. Depending upon the fee or tax involved, these fees and taxes are payable with varying frequency. License fees and taxes are based upon such factors as a percentage of the gaming revenue received; the number of gambling devices and table games operated; or a one-time fee payable upon the initial receipt of license and fees in connection with the renewal of license. In some jurisdictions, casino tax rates are graduated such that the tax rates increase as gaming revenue increases. Tax rates are subject to change, sometimes with little notice, and such changes could have a material adverse impact on our gaming operations.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Operational Requirements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most jurisdictions, we are subject to certain requirements and restrictions on how we must conduct our gaming operations. Our ability to conduct certain types of games, introduce new games, reduce the number of games, or move existing games within our facilities may be restricted or subject to regulatory review and approval. Some of our operations are subject to restrictions on the number of gaming positions we may have, the maximum wagers allowed to be placed by our customers, and restrictions on the hours of operation. In certain states, we are required to give preference to local suppliers and include minority and women-owned businesses and organized labor in construction projects to the maximum extent practicable. We may be required to give employment preference to minorities, women, and in-state residents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federal, state, and local environmental laws and regulations that govern activities that may have adverse environmental effects, such as discharges to air and water, as well as the management and disposal of solid, animal, and hazardous wastes and exposure to hazardous materials. These laws and regulations, which are complex and subject to change, include the United States Environmental Protection Agency ("EPA") and state laws and regulations that address the impacts of manure and wastewater generated by Concentrated Animal Feeding Operations ("CAFO") on water quality, including, but not limited to, storm and sanitary water discharges. CAFO and other water discharge regulations include permit requirements and water quality discharge standards. Enforcement of these regulations has been receiving increased governmental attention. Compliance with these and other environmental laws can, in some circumstances, require significant capital expenditures. We may incur future costs under existing and new laws and regulations pertaining to storm water and wastewater management at our racetracks. Violations can result in significant penalties and, in some instances, interruption, or cessation of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also are subject to laws and regulations that create liability and cleanup responsibility for releases of hazardous substances into the environment. Under certain of these laws and regulations, a current or previous owner or operator of property may be liable for the costs of remediating hazardous substances or petroleum products on its property, without regard to whether the owner or operator knew of, or caused, the presence of the contaminants, and regardless of whether the practices that resulted in the contamination were legal at the time the contamination occurred. The presence of, or failure to remediate properly, such substances may materially adversely affect the ability to sell or rent such property or to borrow funds using such property as collateral. The owner of a property may be subject to claims by third parties based on damages and costs resulting from environmental contamination emanating from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Marks and Intellectual Property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hold numerous state and federal service mark registrations on specific names and designs in various categories including the entertainment business, apparel, paper goods, printed matter, housewares, and glass. We license the use of these service marks and derive revenue from such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60" w:after="120"/>
        <w:jc w:val="both"/>
        <w:rPr/>
      </w:pPr>
      <w:r>
        <w:rPr>
          <w:rFonts w:ascii="Times New Roman;serif" w:hAnsi="Times New Roman;serif"/>
          <w:b w:val="false"/>
          <w:color w:val="000000"/>
          <w:sz w:val="20"/>
        </w:rPr>
        <w:t>Our Annual Reports on Form 10-K, Quarterly Reports on Form 10-Q, Current Reports on Form 8-K, proxy statements and other Securities and Exchange Commission ("SEC") filings, and any amendments to those reports and any other filings that we file with or furnish to the SEC under the Securities Exchange Act of 1934 are made available free of charge on our website (</w:t>
      </w:r>
      <w:r>
        <w:rPr>
          <w:rFonts w:ascii="Times New Roman;serif" w:hAnsi="Times New Roman;serif"/>
          <w:b w:val="false"/>
          <w:color w:val="000000"/>
          <w:sz w:val="20"/>
          <w:u w:val="single"/>
        </w:rPr>
        <w:t>www.churchilldownsincorporated.com</w:t>
      </w:r>
      <w:r>
        <w:rPr>
          <w:rFonts w:ascii="Times New Roman;serif" w:hAnsi="Times New Roman;serif"/>
          <w:b w:val="false"/>
          <w:color w:val="000000"/>
          <w:sz w:val="20"/>
        </w:rPr>
        <w:t xml:space="preserve">) as soon as reasonably practicable after we electronically file the materials with the SEC and are also available at the SEC’s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below, that could adversely affect our business, financial condition, results of operations, cash flows, and the trading price of our common stock.</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Economic and External Risks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the occurrence of extraordinary events, such as terrorist attacks, public health threats, and civil unrest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depend, in large part, on revenues derived from customers visiting our casinos and racetracks, which is subject to the occurrence and threat of extraordinary events that may discourage attendance or expose us to substantial liability. Terrorist activity, including acts of domestic terrorism, civil unrest, or other actions that discourage attendance at other locations, or even the threat of such activity, including public concerns regarding air travel, military actions, safety, and additional national or local catastrophic incidents, could result in reduced attendance at Churchill Downs Racetrack and at our other locations. A major epidemic or pandemic, outbreak of a contagious equine or human disease, or the threat of such an event (as well as measures implemented to address such events or risks), could also adversely affect attendance and could impact the supply chain for our major construction projects resulting in higher costs and delays of the projects. For example, the COVID-19 global pandemic resulted in the temporary suspension of operations of all our wholly owned gaming properties, certain wholly owned racing operations, and two gaming properties related to our equity investments. While we are constantly evaluating our security precautions to ensure the safety of the public, no security measures can guarantee safety and there can be no assurances of avoiding potential liabilities.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Our business is sensitive to economic conditions which may affect consumer confidence, consumers’ discretionary spending, or our access to credit in a manner that adversely impacts our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Economic trends can impact consumer confidence and consumers’ discretionary spending, including: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Negative economic conditions and the persistence of elevated levels of unemployment can impact consumers’ disposable incomes and, therefore, impact the demand for entertainment and leisure activities.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Inflationary periods negatively impact consumers' discretionary income and could reduce the amount of income previously used for gaming and entertainment.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Declines in the residential real estate market, increases in individual tax rates and other factors that we cannot accurately predict may reduce the disposable income of our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Decreases in consumer discretionary spending could affect us even if such decreases occur in other markets. For example, reduced wagering levels, and profitability at racetracks from which we carry racing content could cause certain racetracks to cancel races or cease operations and therefore reduce the content we could provide to our customers.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Lower consumer confidence or reductions in consumers’ discretionary spending could result in fewer patrons spending money at our racetracks, our online wagering sites and gaming and wagering facilities, and reduced consumer spending overall.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access to and the cost of credit may be impacted to the extent global and U.S. credit markets are affected by downward economic trends. Economic trends can also impact the financial viability of other industry constituents, making collection of amounts owed to us uncertain. Our ability to respond to periods of economic contraction may be limited, as certain of our costs remain fixed or even increase when revenue declines.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business may be subject to fluctuations due to seasonality and inclement weather that could result in volatility and have an adverse effect on our operating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Unfavorable weather conditions, including extremely high and low temperatures, heavy rains and snow, high winds, storms, tornadoes, and hurricanes, have caused and may in the future cause events to be canceled and/or attendance to be lower, resulting in reduced wagering. Inclement weather conditions may deter or prevent customers from reaching our facilities, including our gaming and HRM venues. Climate change could have an impact on longer-term natural weather trends. Extreme weather events that are linked to rising temperatures, changing global weather patterns, sea, land, and air temperatures, as well as sea levels, rain, and snow could result in increased occurrence and severity of adverse weather events. Our operations are subject to reduced patronage, disruptions, or complete cessation of operations due to weather conditions, natural disasters, and other casualties. The occurrence or threat of any such extraordinary event at our locations, particularly at Churchill Downs Racetrack during Kentucky Derby and Oaks week, could have a material negative effect on our business and results of operations.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120" w:after="180"/>
        <w:jc w:val="both"/>
        <w:rPr>
          <w:rFonts w:ascii="Times New Roman;serif" w:hAnsi="Times New Roman;serif"/>
          <w:b/>
          <w:i/>
          <w:color w:val="000000"/>
          <w:sz w:val="20"/>
        </w:rPr>
      </w:pPr>
      <w:r>
        <w:rPr>
          <w:rFonts w:ascii="Times New Roman;serif" w:hAnsi="Times New Roman;serif"/>
          <w:b/>
          <w:i/>
          <w:color w:val="000000"/>
          <w:sz w:val="20"/>
        </w:rPr>
        <w:t>Due to the nature of our business, we are subject to taxation in several jurisdictions and changes in, or new interpretations of, tax laws, tax rulings or their application by tax authorities could result in additional tax liabilities and could materially affect our financial condition and results of operations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 prospect of raising significant additional revenue through taxes and fees is one of the primary reasons that certain jurisdictions permit legalized gaming. As a result, gaming companies are typically subject to significant taxes and fees in addition to the normal federal, state, provincial, and local income taxes and such taxes and fees may be increased at any time. From time to time, legislators and officials have proposed changes in tax laws or in the administration of laws affecting the horse racing, online wagering, and casino industries. Many states and municipalities are experiencing budgetary pressures that may make it more likely they would seek to impose additional taxes and fees on our operations. We are subject to tax in multiple U.S. tax jurisdictions and judgment is required in determining our provision for income taxes, deferred tax assets or liabilities, and in evaluating our tax positions. It is not possible to determine the likelihood, extent or impact of any future changes in tax laws or fees, or changes in the administration of such laws; however, if enacted, such changes could have a material adverse impact on our business.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Strategic Risks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 lack of confidence in the integrity of our core businesses or any deterioration in our reputation could affect our ability to retain our customers and engage with new customers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Horse racing, pari-mutuel wagering, and casino gaming businesses depend on the public perception of integrity and fairness in their operations. To prevent cheating or erroneous payouts, necessary oversight processes must be in place to ensure that such activities cannot be manipulated. A lack or loss of confidence in the fairness of our industries could have a material adverse impact on 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Acts of fraud or cheating in our gaming businesses using counterfeit chips, covert schemes, and other tactics, possibly in collusion with our employees, may be attempted or committed by our gaming customers with the aim of increasing their winnings. Our gaming customers, visitors, and employees may also commit crimes such as theft to obtain chips not belonging to them. Despite our efforts to safeguard against this risk,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factors that could influence our reputation include the quality of the services we offer and public perception of our actions regarding social issues such as diversity, human rights, and support for local communities. Broad access to social media makes it easy for anyone to provide public feedback that can influence perceptions of us or our properties. It may be difficult to control or effectively manage negative publicity, regardless of whether it is accurate. Negative events and publicity could quickly and materially damage perceptions of us, our properties, or our industries,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An inability to attract and retain key and highly qualified and skilled personnel, as well as disruptions in the general labor market, could impact our ability to successfully develop, operate, and grow 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success depends in part on our ability to hire, develop, motivate, and retain highly qualified and skilled employees throughout our organization. If we do not successfully hire, develop, motivate, and retain highly qualified and skilled employees, it is likely that we could experience significant disruptions in our operations and our ability to successfully develop, operate, and grow our business could be impacted.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the type of talent we seek to hire continues to be a challenge in the geographic areas in which we operate. As a result, we may incur significant costs to attract and retain highly skilled employees. We may be unable to attract and retain the personnel necessary to sustain our business or support future growth.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key employees are required to file applications with the gaming authorities in each of the jurisdictions in which we operate and are required to be licensed or found suitable by these gaming authorities. If the gaming authorities were to find a key employee unsuitable for licensing, we may be required to sever the employee relationship, or the gaming authorities may require us to terminate the employment of any person who refuses to file appropriate applications. Either result could significantly impact our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continue to experience a competitive labor market. Employee turnover, changes in the availability of our workers, or labor shortages in our supply chain could result in increased costs and impact our ability to fully staff our operations, which could negatively affect our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Company faces significant competition, and we expect competition levels to increase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face an increasingly high degree of competition among many participants operating from physical locations including land-based casinos, destination casinos, Native American gaming, riverboat casinos and other gaming locations including video lottery, gaming at taverns, truck stops, gas stations and other establishments, historical horse racing venues, sweepstakes and poker machines not located in casinos, and charitable gaming. We also face an increasingly high degree of competition from online or mobile platforms, including iGaming; sports betting; i-lotteries; prediction markets; and fantasy sports. Competition from online or mobile platforms could divert customers from our properties and thus adversely affect our financial condition, results of operations, and cash flows. Currently, several states are considering legislative proposals that would legalize sports betting and, in some cases, internet poker and other forms of iGaming. Expansion of land-based gaming or iGaming in the markets in which we operate brick-and-mortar casinos or racing venues could have an adverse impact on our financial condition, results of operations, and cash flows.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Legalized gaming is currently permitted in various forms throughout the U.S. including on Native American lands. Certain states, including states adjacent to states in which we currently have properties, have recently legalized, implemented, and expanded gaming. Established gaming jurisdictions could award additional gaming licenses or permit the expansion or relocation of existing gaming operations. Voters and state legislatures may seek to supplement traditional tax revenue sources of state governments by authorizing or expanding gaming in the states that we operate in or the states that are adjacent to or near our existing properties. New, relocated, or expanded gaming operations maintained by other industry participants could increase competition for our operations and could have a material adverse impact on us.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operations also face competition from other leisure and entertainment activities.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Our Churchill Downs Racetrack and the Kentucky Derby may be adversely affected by changes in consumer preferences, attendance, wagering, and sponsorships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Churchill Downs Racetrack is dependent upon the number of people attending and wagering on live horse races. If interest in horse racing is lower in the future, it may have a negative impact on revenue and profitability in our Live and Historical Racing segment. Accidents and adverse events that may occur at our racetrack and any reputational damage as a result may negatively impact attendance at and wagering on our live horse races. If attendance at and wagering on live horse racing declines, it could have a material adverse impact on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and level of sponsorships are important to the success of the Kentucky Derby. If we are unable to retain sponsors, acquire new sponsors, and compete for sponsorships and advertising dollars, it could have a material adverse impact on our business, including by significantly reducing revenue and harming the long-term scale and prestige of the event.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We are subject to significant risks associated with our equity investments, strategic alliances, and other third-party agreements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pursue certain license opportunities, development projects, and other strategic business opportunities through equity investments, joint ventures, license arrangements, and other alliances with third parties.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equity investments are governed by mutually established agreements that we entered into with our co-investors and therefore, we do not unilaterally control the applicable entity or other initiatives. The terms of the equity investments and the rights of our co-investors may preclude us from taking actions that we believe to be in the best interests of the Company. Disagreements with our co-investors could result in delays in project development, including construction delays, and ultimate failure of the project. Our co-investors also may not be able to provide capital to the applicable entity on the terms agreed to or at all, and the applicable entity may be unable to obtain external financing to finance their operations. Also, our ability to exit the equity investments may be subject to contractual and other limitations.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With any third-party arrangement, there is a risk that our partners’ economic, business, or legal interests or objectives may not be aligned with ours, leading to potential disagreements and/or failure of the applicable project or initiative. We are also subject to risks relating to our co-investors’ failure to satisfy contractual obligations, conflicts arising between us and any of our partners and changes in the ownership of any of our co-investors.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Any of these risks could have a material adverse impact on our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We may not be able to respond to rapid technological changes in a timely manner, which may cause customer dissatisfaction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Wagering Services and Solutions segment and gaming and historical racing properties are characterized by the rapid development of new technologies and the continuous introduction of new products. Our main technological advantage versus potential competitors is our software lead-time in the market and our experience in operating an Internet-based wagering network. It may be difficult to maintain our competitive technological position against current and potential competitors, especially those with greater financial resources. The Company's competitors may adopt new technologies and technological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advancements, such as using artificial intelligence and machine learning, to pursue new products, services and approaches more quickly, successfully, and effectively than the Company.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upon new product development and technological advancements, including the development of new wagering platforms and features. While we expend resources on research and development and product enhancement, we may not be able to continue to improve and market our existing products or technologies or develop and market new products in a timely manner. Further technological developments from our competitors may cause our products or technologies to become obsolete or noncompetitive.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The concentration and evolution of the slot machine and HRM manufacturing industry or other technological conditions could impose additional costs on us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 significant amount of our revenue is attributable to slot, HRM, VLTs, and video poker machines operated by us at our properties, and there are a limited number of slot machine and HRM manufacturers servicing the industry. A substantial majority of the slot and HRM machines sold in the U.S. are manufactured by a few select companies. We rely on a limited number of vendors to provide video poker, slot and HRM machines and any loss of equipment suppliers could impact our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Availability of the most popular games may also be limited by the manufacturer. If we are unable to maintain availability of the most popular games, it could impact our ability to attract and retain customers.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prices of new machines may escalate, and manufacturers could refuse to sell us machines featuring the most popular games, instead requiring participating lease arrangements to acquire the machines. Such agreements may be substantially more expensive over the long term than the cost of purchasing a new machine.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hardware and software products to maximize revenue and efficiency in our operations. Technology in the gaming industry is developing rapidly, and we may need to invest substantial amounts to acquire the most current gaming and hotel technology and equipment to remain competitive in the markets in which we operate. Ensuring the successful implementation and maintenance of any new technology is an additional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vendors that may use components produced in foreign countries. Restrictions on international trade, such as tariffs and other controls on imports or exports, could impact the pricing and availability of slot and HRM machines.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operations in certain jurisdictions depend on agreements with industry constituents including horsemen and other racetracks, and the failure to enter into or maintain these agreements on terms acceptable to us could have a material adverse effect on our business, results of operations,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 certain jurisdictions depend on agreements with third parties. If we are unable to renew these agreements on satisfactory terms as they expire, our business may be disrupted. For example, the Interstate Horseracing Act, as well as various state racing laws, require that we have written agreements with the horsemen at our racetracks in order to simulcast races, and, in some cases, conduct live racing. Certain industry groups negotiate these agreements on behalf of the horsemen (the "Horsemen’s Groups"). These agreements provide that we must receive the consent of the Horsemen’s Groups at the racetrack conducting live races before we may allow third parties to accept wagers on those races. We currently negotiate formal agreements with the applicable Horsemen’s Groups at our racetracks on an annual basis. The failure to maintain agreements with, or obtain consents from, the Horsemen's Groups on satisfactory terms or the refusal by a Horsemen’s Group to consent to third parties accepting wagers on our races or our accepting wagers on third-party races could have a material adverse impact on our business, as such failure will result in our inability to conduct live racing and export and import simulcasting.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certain Horsemen’s Groups have withheld their consent to send or receive racing signals among racetracks. Failure to receive the consent of these Horsemen’s Groups for new and renewing simulcast agreements could have a material adverse impact on our business. We also have written agreements with certain Horsemen’s Groups with regards to the proceeds of gaming machines in certain states that may be required to operate such gaming.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agreements with other racetracks for the distribution of racing content through both the import of other racetracks’ signals for wagering at our properties and the export of our racing signal for wagering at other racetracks’ facilities, OTBs, and ADWs. From time to time, we may be unable to reach agreements on terms acceptable to us. As a result, we may be unable to distribute our racing content to other locations or to receive other racetracks’ racing content for wagering at our racetracks. The inability to distribute our racing content could have a material adverse impact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Operational Risks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business is subject to cybersecurity risk, including the risk of data privacy and cybersecurity breaches or attacks on our or our third-party service providers' IT systems. Loss or misuse of our confidential information because of such a breach, including customers’ personal information, or IT system operational disruptions, could lead to government enforcement actions or other litigation, potential liability, or otherwise harm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receive, process, store, and use personal information and other confidential information in our daily business operations, including by maintaining and transmitting customers’ personal and financial information, credit card settlements, credit card funds transmissions, mailing lists, and reservations information. Our processing of such personal information is subject to extensive requirements and regulation by private groups, such as the payment card industry or through contracts, as well as by governmental authorities, including privacy, consumer protection, financial and gaming authorities.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federal, state, and local laws regarding privacy and the storing, sharing, use, processing, disclosure and protection of personal information and other data, and such privacy laws and regulations continue to evolve. All U.S. states have passed laws requiring notification to individuals when there is a security breach that compromises certain personal data, and other federal and state laws and regulations require reasonable or certain minimum information security standards that are often vaguely defined and may be difficult to implement. Moreover, an increasing number of states have passed broad consumer privacy laws, such as the California Consumer Privacy Act of 2018 (the "CCPA"), which went into effect on January 1, 2020 and provided California consumers greater control of the information collected, stored, and sold. Further amendments and regulations to the CCPA enhanced consumer privacy rights and increased administrative obligations on business’ privacy programs. The CCPA provides a private right of action (in addition to statutory damages) for California residents whose sensitive personal information was breached because of a business’s violation of its duty to reasonably secure such information. Since 2018, several states have passed or are considering similar legislation. The costs of compliance with the U.S. privacy regime may increase because of changes in interpretation or changes in law, including as additional states passed similar or potentially conflicting laws. Any failure on our part to comply with these laws or our privacy policies may subject us to significant liabilities, including governmental enforcement actions or litigation.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regularly identify, defend against, and recover from cybersecurity incidents, and have suffered cyber-attacks in the past. While these attacks have not had a material impact on the Company to date, we and/or our third-party service providers may continue to experience cyber-attacks, and such attacks could have an adverse impact on our business in the future. Our systems and processes that are designed to protect personal information and prevent data loss, operational disruption or other cybersecurity incidents, including systems and processes designed to reduce the impact of a security breach at a third-party vendor or joint venture partner, may not be successful. Interruptions in our services or a breach of a customer’s secure data could cause current or potential users to believe that our systems are insecure or unreliable, which could permanently harm our reputation and brand. These interruptions could also increase the burden on our engineering staff, which, in turn, could delay our introduction of new features and services on our websites and in our casinos. Such incidents could give rise to remediation costs, monetary fines, and other penalties, or other business losses which could be significant. We attempt to protect against this risk with our property and business interruption insurance, which covers damage or interruption of our systems, although there is no assurance that such insurance will be adequate to cover all potential losses.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we work with, such as vendors, may violate applicable laws, their contractual commitments or our privacy and information security policies, and such violations may also put our customers’ information at risk and could in turn have an adverse impact on our business. We are also subject to payment card association rules and obligations under each association’s contracts with payment card processors. Under these rules and obligations, if information is compromised, we could be liable to payment card issuers for the associated expense and penalties. If we fail to follow payment card industry security standards, even if no customer information is compromised, we could incur significant fines or experience a significant increase in payment card transaction costs.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Security breaches, computer malware, computer hacking attacks and software or IT system vulnerabilities have become more prevalent in our industry, and hackers and data thieves are increasingly sophisticated and operate large-scale and complex attacks. Many companies, including ours, have been the targets of such attacks. Moreover, the rapid evolution and increased adoption of artificial intelligence technologies may intensify our cybersecurity risks. Any security breach, either caused by intentional hacking or human error, which results in unauthorized access to information or systems, or malfunctions or loss or corruption of data, software, hardware or other computer equipment, or the inadvertent transmission of computer viruses could harm our business.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Though it is difficult to determine what harm may directly result from any specific cybersecurity incident, any failure to maintain performance, reliability, security, and availability of our network infrastructure to the satisfaction of our players may harm our reputation and our ability to retain existing players and attract new players.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to mitigate and manage the foregoing security threats and vulnerabilities before or after a cyber incident could be significant. Our containment or remediation efforts may not be successful and could result in interruptions, delays, or cessation of service, and loss of existing or potential suppliers or customers. As threats related to cyber-attacks develop and grow, we may also find it necessary to make further investments to protect our data and infrastructure, which may impact our results or operations. We have insurance coverage for protection against cyber-attacks, which is designed to cover expenses around notification, credit monitoring, investigation, crisis management, public relations, and legal advice. This insurance coverage may not be sufficient to cover all possible claims, and we could suffer losses that could have a material adverse effect on our business.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operations rely heavily on technology services, and catastrophic events, system failures, errors, defects, or disruptions with respect to these technology services could cause a significant and continued disruption to our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rely on information technology and other systems to manage our business and our operations rely heavily on technology services. Our online wagering, HRM and brick-and-mortar casino businesses depend upon our communications hardware and our computer hardware.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Catastrophic events, system failures, errors, defects, or disruptions with respect to our technology or technology services could cause a significant and continued disruption to our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disruption or failure in our technology or technology systems in the event of a cybersecurity incident, major earthquake, weather event, terrorist attack, or other catastrophic event could interrupt our operations, damage our properties, and reduce the number of customers who visit our facilities in the affected areas.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Security incidents could expose the Company to a risk of loss or misuse of confidential information, litigation, regulatory enforcement, and potential liability. Cyber incidents that impact the availability, reliability, speed, accuracy, or other proper functioning of our technology systems could impact our operations. A significant cyber incident, including system failure, security breach, disruption by malware or other damage could interrupt or delay our operations, result in a violation of applicable privacy and other laws or contractual obligations, damage our reputation, subject us to litigation, cause a loss of customers or give rise to remediation costs, monetary fines, and other penalties, which could be significant.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systems also remain vulnerable to damage or interruption from floods, fires, power loss, telecommunication failures, hardware or software error, computer viruses, and similar events. Despite any precautions we may take, the occurrence of a natural disaster or other unanticipated problems could result in lengthy interruptions in our services. Any unscheduled interruption in the availability of our websites and our services could result in an immediate, and possibly substantial, loss of revenue.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may from time to time implement new technology or technology systems. Any disruption, failure, or errors related to the implementation of new technology or technology systems could adversely affect our operations, internal control over financial reporting, or ability to meet regulatory and reporting requirements. System implementations are complex, costly, and time-consuming, and involve significant changes to business processes, internal controls, and the information technology environment.</w:t>
      </w:r>
    </w:p>
    <w:p>
      <w:pPr>
        <w:pStyle w:val="TextBody"/>
        <w:bidi w:val="0"/>
        <w:spacing w:lineRule="auto" w:line="268" w:before="60" w:after="120"/>
        <w:jc w:val="both"/>
        <w:rPr>
          <w:rFonts w:ascii="Times New Roman;serif" w:hAnsi="Times New Roman;serif"/>
          <w:b/>
          <w:i/>
          <w:color w:val="000000"/>
          <w:sz w:val="20"/>
        </w:rPr>
      </w:pPr>
      <w:r>
        <w:rPr>
          <w:rFonts w:ascii="Times New Roman;serif" w:hAnsi="Times New Roman;serif"/>
          <w:b/>
          <w:i/>
          <w:color w:val="000000"/>
          <w:sz w:val="20"/>
        </w:rPr>
        <w:t>We may not be able to identify and / or complete acquisitions, divestitures, development of new venues or the expansion of existing facilities on time, on budget or as planned and we may experience difficulty in integrating acquisitions or transitioning divested assets to a third-party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pursue acquisitions to grow our business, and we pursue divestitures based on our long-term strategy.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face challenges in identifying and completing acquisitions or other development or expansion projects that fit with our strategic objectives. These projects require significant capital commitments and the incurrence of additional debt. These projects also have risks associated with managing and integrating the acquisition.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completed acquisition transactions in the past, and we may pursue acquisitions from time to time in the future. The successful integration of newly acquired businesses into our operations has required and will continue to require the expenditure of substantial managerial, operating, financial, and other resources and may also lead to a diversion of our attention from our ongoing business concerns. We may not be able to successfully integrate new businesses, manage the combined operations or realize projected revenue gains, cost savings, and synergies in connection with those acquisitions on the timetable contemplated, if at all. Management of the new business operations, especially those in new lines of business or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geographic areas, may require that we increase our managerial resources. The process of integrating new operations may also interrupt the activities of those businesses, which could have a material adverse impact on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perform financial, operational, and legal diligence on the businesses we purchase; however, an unavoidable level of risk remains regarding the actual condition of these businesses and our ability to continue to operate these businesses successfully and integrate them into our existing operations. In any acquisition we make, we face risks that include the following: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risk that the acquired business may not further our business strategy or that we paid more than the business was worth,</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risk that the financial performance of the acquired business declines or fails to meet our expectations from and after the date of acquisition,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potential adverse impact on our relationships with partner companies or third-party providers of technology or products,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possibility that we have acquired substantial undisclosed liabilities for which we may have no recourse against the sellers or third-party insurers,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costs and complications in maintaining required regulatory approvals or obtaining further regulatory approvals necessary to implement the acquisition in accordance with our strategy,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risks of acquiring businesses and/or entering markets in which we have limited or no prior experience,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potential loss of key employees or customers,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possibility that we may be unable to retain or recruit employees with the necessary skills to manage the acquired businesses,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changes to legal and regulatory guidelines which may negatively affect acquisitions.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also face challenges in completing divestiture opportunities that fit with our strategic objectives. These projects also have risks associated with managing and transitioning divested assets to a third-party, including the risk that we are required to retain certain liabilities associated with divested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or divestiture of businesses may also be delayed by external factors beyond our control including federal, state, and local issues.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integrating businesses we acquire or managing and transitioning divested assets to a third-party could significantly impact our short-term operating results. These costs may include the following: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restructuring charges,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non-recurring transaction costs, including accounting and legal fees, investment banking fees, and recognition of transaction-related costs or liabilities,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costs of implementing or transitioning financial and management controls and operating, administrative and information systems.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impact of these risks may cause us to not realize the intended benefits of these capital investments or divestitures which could have a material adverse impact on our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The development of new venues and the expansion or renovation of existing facilities requires significant investment and is susceptible to delays, cost overruns, and other uncertainties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decide to build out or renovate areas at Churchill Downs Racetrack or develop and build HRM entertainment venues, casinos, hotels, other gaming venues, or racetracks in response to opportunities that may arise. For example, we've announced multi-year capital investments to transform key areas of Churchill Downs Racetrack, as well as other capital investments in HRM entertainment venues. Future development projects may require significant capital commitments and the incurrence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debt, which could have a material adverse impact on our business. Supply chain disruptions and inflationary pressure related to these projects could lead to delays and higher project costs.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impact of these risks may cause us to not realize the intended benefits of these investments.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Ownership and development of our owned and leased real estate is subject to risk, including risks related to environmental liabilities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own and lease extensive real estate holdings. All real estate investments are subject to risks including the following: general economic conditions, such as the availability and cost of financing; local and national real estate conditions; governmental regulation, including taxation of property, environmental legislation; and the attractiveness of properties to potential purchasers or tenants. Significant expenditures, including property taxes, debt repayments, maintenance costs, insurance costs, and related charges, must be made throughout the period of ownership or leasing of real property. Such expenditures may negatively impact our operating results.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federal, state, and local governmental laws and regulations relating to the use, storage, discharge, emission, and disposal of hazardous materials. Environmental laws and regulations could hold us responsible for the cost of cleaning up hazardous materials contaminating real property that we own or operate (or previously owned or operated) or properties at which we have disposed of hazardous materials, even if we did not cause the contamination. Some of our facilities are subject to CAFO regulations. If we fail to comply with environmental laws or if contamination is discovered, a court or government agency could impose severe penalties or restrictions on our operations or assess us with the costs of taking remedial actions. Enforcement of such regulations have been receiving increased governmental attention and compliance with these and other environmental laws can, in some circumstances, require significant capital expenditures (including with respect to fines).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Horse racing is an inherently dangerous sport, and our racetracks are subject to personal injury litigation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Personal injuries and injuries to horses have occurred during races or workouts, and may continue to occur, which could subject us to negative publicity and / or litigation. Negative publicity may lead some customers to avoid the Company’s properties or could cause horse owners to avoid racing their horses at our racetracks. Any litigation resulting from injuries at our properties could be costly and time consuming and could divert our management and key personnel from our business operations. We buy insurance for all our racetracks; however, our coverage may not be sufficient for all losses. Due to the potential impact of negative publicity and inherent uncertainty related to the outcome of litigation, there can be no assurance that the resolution of any claim or proceeding would not have a material adverse effect on our results of operations, financial position or liquidity.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Any violation of the Foreign Corrupt Practices Act, other similar laws and regulations, or applicable anti-money laundering regulations could have a negative impact on us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associated with doing business outside of the U.S., including exposure to complex foreign and U.S. regulations such as the Foreign Corrupt Practices Act (the "FCPA") and other anti-corruption laws which generally prohibit U.S. companies and their intermediaries from making improper payments to foreign officials for the purpose of obtaining or retaining business. Violations of the FCPA and other anti-corruption laws may result in severe criminal and civil sanctions and other penalties. It may be difficult to oversee the conduct of any contractors, third-party partners, representatives, or agents who are not our employees, potentially exposing us to greater risk from their actions. If our employees or agents fail to comply with applicable laws or company policies governing our international operations, we may face legal proceedings and actions which could result in civil penalties, administration actions, and criminal sanctions. Any determination that we have violated any anti-corruption laws could have a material adverse impact on 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also deal with significant amounts of cash in our operations and are subject to various reporting and anti-money laundering regulations. Any violation of anti-money laundering laws or regulations by any of our properties could have a material adverse impact on our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We are subject to payment-related risks, such as risk associated with the fraudulent use of credit or debit cards which could have adverse effects on our business due to chargebacks from customers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allow funding and payments to accounts using a variety of methods, including electronic funds transfer ("EFT") and credit and debit cards. As we continue to introduce new funding or payment options to our players, we may be subject to additional regulatory and compliance requirements. We also may be subject to the risk of fraudulent use of credit or debit cards, or other funding and/or payment options. For certain funding or payment options, including credit and debit cards, we may pay interchange and other fees which may increase over time and, therefore, raise operating costs and reduce profitability. We rely on third parties to provide payment-processing services, and it could disrupt our business if these companies become unwilling or unable to provide these services to us. We are also subject to rules and requirements governing EFT which could change or be reinterpreted to make it difficult or impossible for us to comply. If we fail to comply with these rules or requirements,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may be subject to fines and higher transaction fees or possibly lose our ability to accept credit or debit cards, or other forms of payment from customers which could have a material adverse impact on 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Chargebacks occur when customers seek to void credit card or other payment transactions. Cardholders are intended to be able to reverse card transactions only if there has been unauthorized use of the card or the services contracted for have not been provided. In our business, customers occasionally seek to reverse online gaming and other wagering losses through chargebacks. Our control procedures to protect from chargebacks may not be sufficient to protect us from adverse effects on our business or results of operations.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Work stoppages and other labor problems could negatively impact our properties and limit our operational flexibility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Some of our employees are represented by labor unions. A strike or other work stoppage at one of our properties could have an adverse impact on our business and results of operations. From time to time, we have also experienced attempts to unionize certain of our non-union employees. We may experience additional union activity in the future. Any such union organization efforts could cause disruptions in our business and result in significant costs.</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We face risks related to pending or future legal proceedings and other actions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lawsuits and judicial and governmental actions. No assurance can be provided as to the outcome of these lawsuits and actions, which can be expensive and time consuming. We may not be successful in the defense or prosecution of these lawsuits or actions, which could result in settlements, costs, or damages that could have a material adverse impact on our business, financial condition, results of operations, and reputation. Such matters may include investigations or litigation from various parties, including vendors, customers, state, and federal agencies, stockholders, and employees relating to intellectual property, employment, consumer, personal injury, corporate governance, commercial, or other matters arising in the ordinary course of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also been subject to claims in cases concerning or similar to class action allegations. Plaintiffs in such lawsuits often seek recovery of very large or indeterminate amounts, and the magnitude of the potential loss and defense costs relating to such lawsuits may not be accurately estimated. We evaluate all the claims and proceedings involving us to assess the expected outcome, and where possible, we estimate the potential losses we may incur. In many cases, including class action matters, we may not be able to estimate the potential losses we will incur and/or our estimates may prove to be insufficient. These assessments are made by management based on the information available at the time made and require the use of a significant amount of judgment, and actual outcomes or losses may materially differ. Regardless of whether any claims against us are valid, or whether we are ultimately held liable, such litigation may be expensive to defend and may divert resources away from our operations and negatively impact earnings. We may not be able to obtain adequate insurance to protect us from these types of litigation matters or extraordinary business losses.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operations are highly regulated and changes in the regulatory environment could adversely affect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live and historical pari-mutuel wagering, online pari-mutuel wagering through ADWs, casino gaming, and sports betting operations, which are subject to extensive state and for some local regulation. These regulatory authorities have broad discretion, and may, for any reason set forth in the applicable legislation, rules, and regulations, limit, condition, suspend, fail to renew, or revoke a license or registration to conduct our operations or prevent another person from owning an equity interest in the Company. Gambling and gaming laws are frequently changing, and regulatory burdens can directly impact our profitability and growth plans.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be able to retain our existing governmental licenses, registrations, permits, or approvals necessary to operate our existing businesses or demonstrate suitability to obtain any licenses, registrations, permits, or approvals. The loss of a license in one jurisdiction could trigger the loss of a license or affect our eligibility for a license in another jurisdiction. As we expand our operations in our existing jurisdictions or to new areas, we may have to meet additional suitability requirements and obtain additional licenses, registrations, permits, and approvals from authorities in these jurisdictions. The approval process can be time-consuming and costly, and we cannot be sure that we will be successful.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Live and Historical Racing segment is subject to extensive state and local regulation, and we depend on continued state approval of legalized pari-mutuel wagering in states where we operate. Our wagering and racing (including HRM) facilities must meet the licensing requirements of various regulatory authorities. We may be unable to maintain our existing licenses. The failure to obtain such licenses in the future or the loss of or material change in our business licenses, registrations, permits, or approvals may materially limit the number of races we conduct or our racing operations and the number and types of HRMs at our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also have input into important aspects of our operations, including hours of operation and location or relocation of a facility. Regulators may also levy substantial fines against or seize our assets or the assets of our subsidiaries or the people involved in violating pari-mutuel laws or regulations.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TwinSpires accepts ADW wagers from customers of certain states who set up and fund accounts from which they may place wagers via telephone, mobile device, or through the Internet pursuant to the Interstate Horseracing Act and relevant licenses and consents. The online horse racing wagering business is heavily regulated, and laws governing ADW pari-mutuel wagering vary from state to state. State attorney generals, regulators, and other law enforcement officials may interpret state laws, federal laws, constitutional principles, and the related regulations in a different manner than we do.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states have taken affirmative action and more may take action in the future to make advance deposit wagering unlawful or to limit the number of ADW licenses. We may not be successful in lobbying state legislatures or regulatory bodies to obtain or renew required legislation, licenses, registrations, permits, and approvals necessary to facilitate the operation or expansion of our online horse racing wagering business or in any legal challenge to the validity of any restrictions on ADW. Legal challenges and regulatory and legislative processes can be lengthy, costly, and uncertain.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Many states have considered and are considering interactive and Internet gaming legislation and regulations which may inhibit our ability to do business in such states or increase competition for online wagering. Anti-gaming conclusions and recommendations of other governmental or quasi-governmental bodies could form the basis for new laws, regulations, and enforcement policies. The extensive regulation by both state and federal authorities of gaming activities also can be significantly affected by changes in the political climate and changes in economic and regulatory policies.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have a material adverse impact on our financial condition, results of operations, and cash flows.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debt facilities contain restrictions that limit our flexibility in operating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debt facilities contain several covenants that impose significant operating and financial restrictions on our business, including restrictions on our ability to, among other things, take the following actions: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incur additional debt or issue certain preferred shares,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pay dividends on or make distributions in respect of our capital stock, repurchase common shares or make other restricted payments,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make certain investments,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sell certain assets or consolidate, merge, sell, or otherwise dispose of all or substantially all our assets,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create liens on certain assets,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enter into certain transactions with our affiliates,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designate our subsidiaries as unrestricted subsidiaries.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these covenants, we are limited in the way we conduct our business, and we may be unable to engage in favorable business activities or finance future operations or capital needs.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Any failure to comply with the financial ratios and other covenants in our debt facilities and other indebtedness could have a material adverse impact on 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 our debt facilities, we are required to satisfy and maintain specified financial ratios. Our ability to meet those financial ratios can be affected by events beyond our control, and as a result, we may be unable to meet those ratios. A failure to comply with the financial ratios and other covenants contained in our debt facilities or our other indebtedness could result in an event of default which, if not cured or waived, could have a material adverse impact on our business and financial condition. In the event of any default under our debt facilities or our other indebtedness, the lenders thereunder: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will not be required to lend any additional amounts to us,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could elect to declare all borrowings outstanding, together with accrued and unpaid interest and fees, to be due and payable and could terminate all commitments to extend further credit, or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could require us to apply all our available cash to repay these borrowings.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an event of default requires us to repay borrowings before their due date, we may be forced to refinance these borrowings on less favorable terms or may be unable to refinance these borrowing. As a result, our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pledged a significant portion of our assets as collateral under our debt facilities. If any of these lenders accelerate the repayment of borrowings, we may not have sufficient assets to repay our indebtedness, and our lenders could exercise their rights against the collateral we have granted them.</w:t>
      </w:r>
    </w:p>
    <w:p>
      <w:pPr>
        <w:pStyle w:val="TextBody"/>
        <w:bidi w:val="0"/>
        <w:spacing w:lineRule="auto" w:line="268" w:before="60" w:after="120"/>
        <w:jc w:val="both"/>
        <w:rPr>
          <w:rFonts w:ascii="Times New Roman;serif" w:hAnsi="Times New Roman;serif"/>
          <w:b/>
          <w:i/>
          <w:color w:val="000000"/>
          <w:sz w:val="20"/>
        </w:rPr>
      </w:pPr>
      <w:r>
        <w:rPr>
          <w:rFonts w:ascii="Times New Roman;serif" w:hAnsi="Times New Roman;serif"/>
          <w:b/>
          <w:i/>
          <w:color w:val="000000"/>
          <w:sz w:val="20"/>
        </w:rPr>
        <w:t>Increases to interest rates, access or disruptions in the credit markets, or changes to our credit ratings may adversely affect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currently generate significant cash flows from ongoing operations and have access to global credit markets through our various financing activities, interest rate increases, disruption in the credit markets, or changes to our credit ratings could negatively impact the availability or cost of funding. </w:t>
      </w:r>
    </w:p>
    <w:p>
      <w:pPr>
        <w:pStyle w:val="TextBody"/>
        <w:bidi w:val="0"/>
        <w:spacing w:lineRule="auto" w:line="288" w:before="60" w:after="120"/>
        <w:jc w:val="both"/>
        <w:rPr/>
      </w:pPr>
      <w:r>
        <w:rPr>
          <w:rFonts w:ascii="Times New Roman;serif" w:hAnsi="Times New Roman;serif"/>
          <w:b w:val="false"/>
          <w:color w:val="000000"/>
          <w:sz w:val="20"/>
        </w:rPr>
        <w:t>During inflationary periods, interest rates have historically increased, which would have a direct effect on the interest expense of our borrowings. We are exposed to increases in interest rates on our variable-rate borrowings, which consist of borrowings under our credit facility and our term loans. Therefore, interest rate increases, due to inflation or otherwise, could increase our interest expense under these variable-rate facilities in the short-term and increase our financing costs as we refinance our existing variable-rate and fixed-rate long-term borrowings in the long term, or we could incur additional interest expense related to the issuance of incremental debt. These increased costs could reduce our profitability, impair our ability to meet our debt obligations, negatively impact our ability to maintain compliance with the financial covenants in our Credit Agreement, or increase the cost of financing our acquisition, investment, and development activity</w:t>
      </w:r>
      <w:r>
        <w:rPr>
          <w:rFonts w:ascii="sans-serif" w:hAnsi="sans-serif"/>
          <w:b w:val="false"/>
          <w:color w:val="000000"/>
          <w:sz w:val="22"/>
          <w:shd w:fill="FFFFFF" w:val="clear"/>
        </w:rPr>
        <w: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Reduced access to credit or increased costs could adversely affect our liquidity and capital resources or significantly increase our cost of capital.</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Our insurance costs may increase, we may not be able to obtain similar insurance coverage in the future, and the extent to which we can recover under our insurance policies for damages sustained at our operating properties in the event of inclement weather and casualty events, all could adversely affect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renew our insurance policies on an annual basis. The cost of coverage may become so high that we may need to further reduce our policy limits or agree to certain additional exclusions from our coverage. If we are unable to obtain sufficient insurance coverage, we could be at risk for increased potential losses, which could be substantial. Our debt instruments and other material agreements require us to meet certain standards related to insurance coverage. If we are unable to obtain sufficient insurance coverage to satisfy these requirements, an event of default could result under these debt instruments or material agreements.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Portions of our business are difficult or impracticable to insure. After carefully weighing the costs, risks, and benefits of retaining versus insuring various risks, as well as the availability of certain types of insurance coverage, we may opt to retain certain risks not covered by our insurance policies. Retained risks are associated with deductible limits or self-insured retentions, partial self-insurance programs, and insurance policy coverage ceilings.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Flooding, blizzards, windstorms, earthquakes, hurricanes, or other weather conditions could adversely affect our casino and horse racing locations. We maintain insurance coverage that may cover certain costs that we incur because of natural disasters, which coverage is subject to deductibles, exclusions, and limits on maximum benefits. We may not be able to fully collect, if at all, on any claims resulting from extreme weather conditions or other disasters. If any of our properties are damaged or if our operations are disrupted or face prolonged closure because of weather conditions in the future, or if weather conditions adversely impact general economic or other conditions in the areas in which our properties are located or from which we draw our patrons, the disruption could have a material adverse impact on 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"all risk" property insurance coverage for our operating properties which covers damage caused by a casualty loss (such as fire, natural disasters, acts of war, or terrorism). Our level of property insurance coverage, which is subject to policy maximum limits and certain exclusions, may not be adequate to cover all losses in the event of a major casualty and certain casualty events may not be covered at all under our policies. Therefore, certain casualty events could expose us to substantial uninsured losses. Any losses we incur that are not adequately covered by insurance may decrease our future operating income, require us to fund replacements or repairs for destroyed property and reduce the funds available for payment of our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process for detecting, assessing, and managing material risks from cybersecurity threats as part of our overall enterprise risk management system and processes. Our Chief Technology Officer ("CTO") oversees our Chief Information Security Officer ("CISO") and a dedicated team of information security professionals who are responsible for our cybersecurity risk management program. Our CISO oversees our information security professionals’ efforts to prevent, detect, mitigate, and remediate cybersecurity and other emerging technology risks and incidents and the efforts for assessing and managing our material risks from cybersecurity threats. Our cybersecurity and risk management program includes technical security controls, policy enforcement mechanisms, monitoring systems, employee training, contractual arrangements, tools, and related services from third-party providers. Our CISO has over twenty years of extensive experience in information technology and security.</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informed in part by the National Institute of Standards and Technology Cybersecurity Framework ("NIST CSF") as a guide to help us identify, assess, and manage cybersecurity risks relevant to our business. This does not mean that we meet any particular technical standards, specifications, or requirements of the NIST CSF. We routinely engage consultants and other third parties to assist with our cybersecurity risk management, including third-party penetration tests of our various information technology environments and certain assessments from time to time to assist us in evaluating our program against various industry or best practice standards. Our cybersecurity risk management program includes certain components to assist in managing third-party risk. For example, we require contracts with certain third-party vendors that have access to confidential data or key systems to include certain minimum data protection and notification requirements, where applicable. We also carry cybersecurity insurance with coverage for costs associated with a cybersecurity incident.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We have established an incident response plan to address and guide our employees and management on our response to a cybersecurity incident. The Company has two management committees that assist with cybersecurity incidents and cybersecurity and privacy risk management. These committees consist of senior leadership and cross-functional members from across our organization. The Consumer Data Privacy Committee assists with identifying and managing consumer data privacy issues. The Cybersecurity Disclosure Committee ("CD Committee") assists senior management in fulfilling their responsibilities for oversight of the accuracy and timeliness of disclosures made by the Company in response to cybersecurity incidents and vulnerabilities. In the event a potentially significant cybersecurity incident is identified by our information security team, such incident is reported to the CD Committee to consider applicable disclosures, with the assistance of outside counsel as needed. Senior leadership also prepares an enterprise risk management report identifying and evaluating enterprise risks, including cybersecurity risks, which is regularly presented to the Audit Committee.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Our executive leadership team, along with oversight from the Audit Committee of the Board of Directors, are responsible for our overall enterprise risk management system and processes and regularly consider cybersecurity risks in the context of other material risks to the Company. The Audit Committee oversees the processes by which management assesses the Company’s exposure to cybersecurity risks and evaluates the guidelines and policies governing the Company’s monitoring, control, and minimization of such risks. Our CTO regularly reports to the Audit Committee regarding cybersecurity matters.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the Company is not aware of any cybersecurity risks that have, or are reasonably likely to, materially affect us, our business strategy, results of operation, or financial condition. Although we have invested in information security and monitor our systems on an ongoing basis, there can be no guarantee that such efforts will in the future prevent compromises to our information technology systems that could have a material adverse effect on our business. For additional information concerning cybersecurity risks we face, refer to Part 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Live and Historical Racing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Kentucky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Louisville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Churchill Downs Racetrack - we lease 158 acres under a 30-year lease that began in 2002 where we transferred title of the facility to the City of Louisville and retained the right to re-acquire the facility at any time for $1.00, subject to the terms of the lease as part of the financing of improvements to the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Churchill Downs auxiliary training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Derby City Gaming &amp; Hotel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Derby City Gaming Downtown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Southwestern Kentucky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Oak Grove Racing, Gaming &amp; Hotel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Marshall Yards Racing &amp; Gaming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Northern Kentucky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Turfway Park Racing &amp; Gaming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Newport Racing &amp; Gaming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Western Kentucky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Ellis Park Racing &amp; Gaming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Owensboro Racing &amp; Gaming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Virginia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Northern Virginia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The Rose Gaming Resort in Dumfries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Central Virginia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Colonial Downs Racetrack &amp; Rosie's in New Kent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Rosie’s in Richmond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Roseshire in Henrico Co</w:t>
      </w:r>
      <w:r>
        <w:rPr>
          <w:rFonts w:ascii="Times New Roman;serif" w:hAnsi="Times New Roman;serif"/>
          <w:b w:val="false"/>
          <w:color w:val="000000"/>
          <w:sz w:val="20"/>
        </w:rPr>
        <w:t>unty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Southern Virginia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Rosie's in Emporia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Rosie's in Collinsville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Rosie's in Hampton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Western Virginia - Rosie's in Vinton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New Hampshire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Salem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Casino Salem / Rockingham Grand Casino (leased)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Chasers Poker Room in Salem (leased)</w:t>
      </w:r>
    </w:p>
    <w:p>
      <w:pPr>
        <w:pStyle w:val="TextBody"/>
        <w:bidi w:val="0"/>
        <w:spacing w:before="0" w:after="0"/>
        <w:ind w:left="0" w:right="0" w:hanging="0"/>
        <w:jc w:val="both"/>
        <w:rPr/>
      </w:pPr>
      <w:r>
        <w:rPr/>
      </w:r>
    </w:p>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Wagering Services and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Kentucky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TwinSpires.com and Brisnet offices in Lexington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TwinSpires and United Tote offices in Louisville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California - United Tote offices in San Diego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Oregon - United Tote offices in Portland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Texas - Exacta offices in Austin (leased)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Gaming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Florida - Calder Casino in Miami Gardens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Indiana - Terre Haute Casino Resort in Terre Haute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Iowa - Hard Rock Hotel &amp; Casino in Sioux 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Louisiana - Fair Grounds Race Course &amp; Slots and certain VSI properties in New Orleans (certain ones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Maine - Oxford Casino &amp; Hotel in Oxford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Maryland - Ocean Downs Casino &amp; Racetrack in Ocean 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Mississippi - Riverwalk Casino Hotel in Vicksburg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Mississippi - Harlow's Casino Resort &amp; Spa in Greenville (land leased)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York - del Lago Resort &amp; Casino in Waterloo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Pennsylvania - Presque Isle Downs &amp; Casino in Erie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Kentucky - Corporate headquarters in Louisville (leased)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ordinary routine litigation matters which are incidental to our business. Refer to Note 19, Contingencies to the notes to consolidated financial statements included in Item 8. Financial Statements and Supplementary Data of this Annual Report on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SHAREHOLDER MATTERS AND ISSUER PURCHASES OF EQUITY SECURITIES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Market for Common Stock</w:t>
      </w:r>
    </w:p>
    <w:p>
      <w:pPr>
        <w:pStyle w:val="TextBody"/>
        <w:bidi w:val="0"/>
        <w:spacing w:lineRule="auto" w:line="288" w:before="60" w:after="120"/>
        <w:jc w:val="both"/>
        <w:rPr/>
      </w:pPr>
      <w:r>
        <w:rPr>
          <w:rFonts w:ascii="Times New Roman;serif" w:hAnsi="Times New Roman;serif"/>
          <w:b w:val="false"/>
          <w:color w:val="000000"/>
          <w:sz w:val="20"/>
        </w:rPr>
        <w:t xml:space="preserve">The Company's common stock is traded on the Nasdaq Global Select Market under the symbol CHDN. As of </w:t>
      </w:r>
      <w:r>
        <w:rPr>
          <w:rFonts w:ascii="Times New Roman;serif" w:hAnsi="Times New Roman;serif"/>
          <w:b w:val="false"/>
          <w:color w:val="000000"/>
          <w:sz w:val="18"/>
        </w:rPr>
        <w:t>February 19, 2026</w:t>
      </w:r>
      <w:r>
        <w:rPr>
          <w:rFonts w:ascii="Times New Roman;serif" w:hAnsi="Times New Roman;serif"/>
          <w:b w:val="false"/>
          <w:color w:val="000000"/>
          <w:sz w:val="20"/>
        </w:rPr>
        <w:t xml:space="preserve">, there were approximately 1,940 shareholders of record. </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Since joining The Nasdaq Global Select Market in 1993, we have declared and paid cash dividends on an annual basis at the discretion of our Board of Directors. The payment and amount of future dividends will be determined by the Board of Directors and will depend upon, among other things, our operating results, financial condition, cash requirements and general business conditions at the time such payment is considered. We declared a dividend of $0.438 in October 2025, which was paid in January 2026, and we declared a dividend of $0.409 in October 2024, which was paid in January 2025.</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Issuer Purchases of Common Stock</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shares of common stock that we repurchased during the quarter ended December 31, 2025:</w:t>
      </w:r>
    </w:p>
    <w:tbl>
      <w:tblPr>
        <w:tblW w:w="10205" w:type="dxa"/>
        <w:jc w:val="left"/>
        <w:tblInd w:w="0" w:type="dxa"/>
        <w:tblLayout w:type="fixed"/>
        <w:tblCellMar>
          <w:top w:w="28" w:type="dxa"/>
          <w:left w:w="28" w:type="dxa"/>
          <w:bottom w:w="28" w:type="dxa"/>
          <w:right w:w="28" w:type="dxa"/>
        </w:tblCellMar>
      </w:tblPr>
      <w:tblGrid>
        <w:gridCol w:w="407"/>
        <w:gridCol w:w="279"/>
        <w:gridCol w:w="255"/>
        <w:gridCol w:w="109"/>
        <w:gridCol w:w="109"/>
        <w:gridCol w:w="109"/>
        <w:gridCol w:w="566"/>
        <w:gridCol w:w="566"/>
        <w:gridCol w:w="567"/>
        <w:gridCol w:w="109"/>
        <w:gridCol w:w="109"/>
        <w:gridCol w:w="109"/>
        <w:gridCol w:w="295"/>
        <w:gridCol w:w="977"/>
        <w:gridCol w:w="166"/>
        <w:gridCol w:w="109"/>
        <w:gridCol w:w="109"/>
        <w:gridCol w:w="109"/>
        <w:gridCol w:w="776"/>
        <w:gridCol w:w="776"/>
        <w:gridCol w:w="778"/>
        <w:gridCol w:w="109"/>
        <w:gridCol w:w="109"/>
        <w:gridCol w:w="109"/>
        <w:gridCol w:w="536"/>
        <w:gridCol w:w="1522"/>
        <w:gridCol w:w="431"/>
      </w:tblGrid>
      <w:tr>
        <w:trPr/>
        <w:tc>
          <w:tcPr>
            <w:tcW w:w="4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Plans or Programs </w:t>
            </w:r>
            <w:r>
              <w:rPr>
                <w:rFonts w:ascii="Times New Roman;serif" w:hAnsi="Times New Roman;serif"/>
                <w:b/>
                <w:i/>
                <w:color w:val="000000"/>
                <w:sz w:val="18"/>
              </w:rPr>
              <w:t xml:space="preserve">(in millions) </w:t>
            </w:r>
            <w:r>
              <w:rPr>
                <w:rFonts w:ascii="Times New Roman;serif" w:hAnsi="Times New Roman;serif"/>
                <w:b/>
                <w:color w:val="000000"/>
                <w:sz w:val="12"/>
              </w:rPr>
              <w:t>(1)</w:t>
            </w:r>
          </w:p>
        </w:tc>
      </w:tr>
      <w:tr>
        <w:trPr/>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232,606 </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121,190 </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93,372 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93,372 </w:t>
            </w:r>
          </w:p>
        </w:tc>
        <w:tc>
          <w:tcPr>
            <w:tcW w:w="7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121,028 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96,077 </w:t>
            </w:r>
          </w:p>
        </w:tc>
        <w:tc>
          <w:tcPr>
            <w:tcW w:w="7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447,006 </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102.94 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310,639 </w:t>
            </w:r>
          </w:p>
        </w:tc>
        <w:tc>
          <w:tcPr>
            <w:tcW w:w="7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March 12, 2025, the Board of Directors of the Company approved a common stock repurchase program of up to $500.0 million (the "March 2025 Stock Repurchase Program"). The March 2025 Stock Repurchase Program included and was not in addition to the $125.6 million remaining under the prior 2021 Stock Repurchase Program authorization. 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March 2025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 For more information, refer to Note 9, Shareholders' Equity, to the notes to consolidated financial statements included in this Annual Report on Form 10-K.</w:t>
      </w:r>
    </w:p>
    <w:p>
      <w:pPr>
        <w:pStyle w:val="TextBody"/>
        <w:bidi w:val="0"/>
        <w:spacing w:lineRule="auto" w:line="288" w:before="120" w:after="12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shares withheld to pay taxes on the vesting of restricted stock and restricted stock units or to pay taxes on the exercise of stock options granted to employees.</w:t>
      </w:r>
    </w:p>
    <w:p>
      <w:pPr>
        <w:pStyle w:val="TextBody"/>
        <w:bidi w:val="0"/>
        <w:spacing w:lineRule="auto" w:line="288" w:before="180" w:after="60"/>
        <w:jc w:val="both"/>
        <w:rPr>
          <w:rFonts w:ascii="Times New Roman;serif" w:hAnsi="Times New Roman;serif"/>
          <w:b w:val="false"/>
          <w:i/>
          <w:color w:val="000000"/>
          <w:sz w:val="20"/>
        </w:rPr>
      </w:pPr>
      <w:r>
        <w:rPr>
          <w:rFonts w:ascii="Times New Roman;serif" w:hAnsi="Times New Roman;serif"/>
          <w:b w:val="false"/>
          <w:i/>
          <w:color w:val="000000"/>
          <w:sz w:val="20"/>
        </w:rPr>
        <w:t xml:space="preserve">Shareholder Return Performance Graph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depicts the cumulative total shareholder return, assuming reinvestment of dividends, for the periods indicated for our Common Stock compared to the Russell 1000 Index, S&amp;P Midcap 400 Index, and the S&amp;P 500 Index. We consider the Russell 1000 Index to be our most comparable peer group index. </w:t>
      </w:r>
    </w:p>
    <w:p>
      <w:pPr>
        <w:pStyle w:val="TextBody"/>
        <w:bidi w:val="0"/>
        <w:spacing w:before="120" w:after="120"/>
        <w:jc w:val="both"/>
        <w:rPr/>
      </w:pPr>
      <w:r>
        <w:rPr/>
        <w:drawing>
          <wp:inline distT="0" distB="0" distL="0" distR="0">
            <wp:extent cx="3924300" cy="3562350"/>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3924300" cy="3562350"/>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826"/>
        <w:gridCol w:w="725"/>
        <w:gridCol w:w="7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12/31/25</w:t>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1000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Midcap 400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 1: Index Data: Copyright Russell Investments. Used with permission. All rights reserved. </w:t>
      </w:r>
    </w:p>
    <w:p>
      <w:pPr>
        <w:pStyle w:val="TextBody"/>
        <w:bidi w:val="0"/>
        <w:spacing w:lineRule="auto" w:line="268" w:before="0" w:after="0"/>
        <w:jc w:val="left"/>
        <w:rPr/>
      </w:pPr>
      <w:r>
        <w:rPr>
          <w:rFonts w:ascii="Times New Roman;serif" w:hAnsi="Times New Roman;serif"/>
          <w:b w:val="false"/>
          <w:color w:val="000000"/>
          <w:sz w:val="16"/>
        </w:rPr>
        <w:t>NOTE 2: Index Data: Copyright Standard and Poor’s, Inc. Used with permission. All rights reserved.</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consolidated financial condition and results of operations should be read in conjunction with our audited consolidated financial statements and related notes included in Part II, Item 8. Financial Statements and Supplementary Data. The following discussion provides an analysis of our results of operations and reasons for material changes therein for 2025 as compared to 2024. Discussion regarding our financial condition and results of operations for 2024 as compared to 2023 is included in Part II, Item 7 of our Annual Report on Form 10-K for the year ended December 31, 2024, filed with the SEC on February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Our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2025 Transactions and Expansions</w:t>
      </w:r>
    </w:p>
    <w:p>
      <w:pPr>
        <w:pStyle w:val="TextBody"/>
        <w:bidi w:val="0"/>
        <w:spacing w:lineRule="auto" w:line="288" w:before="6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Owensboro Racing and Gaming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Owensboro Racing and Gaming ("Owensboro") opened in February 2025 in Owensboro, Kentucky with 600 historical racing machines ("HRMs"), a retail sportsbook, a simulcast wagering area, and multiple food and beverage offerings. </w:t>
      </w:r>
    </w:p>
    <w:p>
      <w:pPr>
        <w:pStyle w:val="TextBody"/>
        <w:bidi w:val="0"/>
        <w:spacing w:lineRule="auto" w:line="288" w:before="6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Casino Salem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acquired 90% of the outstanding equity interests related to Casino Salem (the "Salem Transaction") in Salem, New Hampshire in August 2025. The Company announced in January 2026 that Casino Salem will be redeveloped as Rockingham Grand Casino ("Rockingham"). Rockingham will occupy a 160,000 square-foot facility at Rockingham Mall. The venue will feature 825 historical racing machines, 32 table games, 12 electronic table game seats, a 900-seat live entertainment venue, food and beverage offerings, including a center bar and full-service sports bar and restaurant. The Company plans to open Rockingham in mid-2027 with an expected capital investment of $180-200 million.</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Rosie's Richmond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expansion of Rosie's Richmond in Richmond, Virginia, with the addition of 450 HRMs in August 2025. Rosie's Richmond now has 1,200 HRMs, food and beverage offerings, a center bar, and a simulcast wagering area. </w:t>
      </w:r>
    </w:p>
    <w:p>
      <w:pPr>
        <w:pStyle w:val="TextBody"/>
        <w:bidi w:val="0"/>
        <w:spacing w:lineRule="auto" w:line="288" w:before="6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Roseshire Gaming Parlor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Roseshire Gaming Parlor in Henrico County, Virginia opened in September 2025 with 175 HRMs, food and beverage offerings, and a simulcast wagering area.</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2024 Transactions and Expansions</w:t>
      </w:r>
    </w:p>
    <w:p>
      <w:pPr>
        <w:pStyle w:val="TextBody"/>
        <w:bidi w:val="0"/>
        <w:spacing w:lineRule="auto" w:line="288" w:before="6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Rose Gaming Resort Opening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opened The Rose Gaming Resort approximately 30 miles south of Washington D.C. The Rose Gaming Resort opened with 1,650 HRMs, a hotel, food and beverage offerings, and a simulcast wagering area.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Terre Haute Casino Resort Opening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April 2024, the Company opened the Terre Haute Casino Resort in Terre Haute, Indiana. Terre Haute Casino Resort opened with 1,040 slot machines, 36 tables games, a hotel, food and beverage offerings, and a retail sportsbook.</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NYRA Transaction</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2024, the Company closed on the sale of 49% of the United Tote Company ("United Tote"), a wholly owned subsidiary of CDI, to NYRA Content Management Solutions, LLC ("NYRA"), a subsidiary of the New York Racing Association,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Other Business Activities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Impairments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concluded that the completion of the Salem Transaction qualified as a trigger event for impairment testing related to the Chasers Poker Room ("Chasers") indefinite-lived gaming rights intangible. At the time the Company acquired Chasers, the valuation of the gaming rights contemplated a future expansion of the existing operations in Salem, New Hampshire. Given the completion of the Salem Transaction, the Company now intends to open Rockingham and does not plan to expand Chasers.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Because the Company does not currently intend to expand Chasers, the Company settled an outstanding liability owed to the former owners of Chasers, related to the Chasers' gaming rights, in the amount of $10.0 million. The settlement of the noncurrent liability resulted in a gain of $40.0 million in the third quarter of 2025. Given the completion of the Salem Transaction and the settlement of the liability related to the Chasers' gaming rights, the Company evaluated and subsequently updated the projected cash flows and discount rate related to the Chasers' gaming rights. As a result of this assessment, the Company recognized a non-cash impairment charge of $85.1 million in the third quarter of 2025 for the entire value of the Chasers' gaming rights, which are included in the Live and Historical Racing segment. The $40.0 million gain on settlement of the noncurrent liability and the $85.1 million impairment charge of the gaming rights intangible are included in Asset impairments, net in the Consolidated Statements of Comprehensive Income. For additional information, refer to Note 7, Asset Impairments to the notes to consolidated financial statements included in Item 8. Financial Statements and Supplementary Data of this Annual Report on Form 10-K.</w:t>
      </w:r>
    </w:p>
    <w:p>
      <w:pPr>
        <w:pStyle w:val="TextBody"/>
        <w:bidi w:val="0"/>
        <w:spacing w:lineRule="auto" w:line="276" w:before="60" w:after="120"/>
        <w:jc w:val="both"/>
        <w:rPr>
          <w:rFonts w:ascii="Times New Roman;serif" w:hAnsi="Times New Roman;serif"/>
          <w:b/>
          <w:color w:val="000000"/>
          <w:sz w:val="20"/>
        </w:rPr>
      </w:pPr>
      <w:r>
        <w:rPr>
          <w:rFonts w:ascii="Times New Roman;serif" w:hAnsi="Times New Roman;serif"/>
          <w:b/>
          <w:color w:val="000000"/>
          <w:sz w:val="20"/>
        </w:rPr>
        <w:t>Key Indicators to Evaluate Business Results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before interest, taxes, depreciation and amortization, adjusted for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Transaction expense, net which includes:</w:t>
      </w:r>
    </w:p>
    <w:p>
      <w:pPr>
        <w:pStyle w:val="TextBody"/>
        <w:bidi w:val="0"/>
        <w:spacing w:lineRule="auto" w:line="288" w:before="60" w:after="120"/>
        <w:ind w:left="0" w:right="0" w:hanging="360"/>
        <w:jc w:val="both"/>
        <w:rPr>
          <w:color w:val="000000"/>
        </w:rPr>
      </w:pPr>
      <w:r>
        <w:rPr>
          <w:color w:val="000000"/>
        </w:rPr>
        <w:t xml:space="preserve">– </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120"/>
        <w:ind w:left="0" w:right="0" w:hanging="360"/>
        <w:jc w:val="both"/>
        <w:rPr>
          <w:color w:val="000000"/>
        </w:rPr>
      </w:pPr>
      <w:r>
        <w:rPr>
          <w:color w:val="000000"/>
        </w:rPr>
        <w:t xml:space="preserve">– </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Stock-based compensation expense;</w:t>
      </w:r>
    </w:p>
    <w:p>
      <w:pPr>
        <w:pStyle w:val="TextBody"/>
        <w:bidi w:val="0"/>
        <w:spacing w:lineRule="auto" w:line="288" w:before="60" w:after="120"/>
        <w:ind w:left="0" w:right="0" w:hanging="90"/>
        <w:jc w:val="both"/>
        <w:rPr/>
      </w:pPr>
      <w:r>
        <w:rPr>
          <w:color w:val="000000"/>
        </w:rPr>
        <w:t xml:space="preserve">• </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Asset impairments, net;</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Gain on property sales;</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Legal reserves;</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Pre-opening expense; and</w:t>
      </w:r>
    </w:p>
    <w:p>
      <w:pPr>
        <w:pStyle w:val="TextBody"/>
        <w:bidi w:val="0"/>
        <w:spacing w:lineRule="auto" w:line="288" w:before="60" w:after="120"/>
        <w:ind w:left="0" w:right="0" w:firstLine="720"/>
        <w:jc w:val="both"/>
        <w:rPr>
          <w:color w:val="000000"/>
        </w:rPr>
      </w:pPr>
      <w:r>
        <w:rPr>
          <w:color w:val="000000"/>
        </w:rPr>
        <w:t xml:space="preserve">• </w:t>
      </w:r>
      <w:r>
        <w:rPr>
          <w:rFonts w:ascii="Times New Roman;serif" w:hAnsi="Times New Roman;serif"/>
          <w:b w:val="false"/>
          <w:color w:val="000000"/>
          <w:sz w:val="20"/>
        </w:rPr>
        <w:t>Other charges, recoveries and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property associated with Arlington International Racecourse ("Arlington") was sold on February 15, 2023 to the Chicago Bears. Arlington's results and exit costs in 2023 are treated as an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2023, the Company's management agreement for Lady Luck in Farmington, Pennsylvania expired and was not renewed.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segment reporting, Adjusted EBITDA includes intercompany revenue and expense totals that are eliminated in the Consolidated Statements of Comprehensive Income. See the Reconciliation of Net Income to Adjusted EBITDA included in this section for additional information.</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2025, we delivered strong performance and made investments in the Kentucky Derby and new entertainment venues that we believe will provide long-term sustainable value creation for our shareholders.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Record net revenue was $2.9 billion, up $191.6 million or 7.0%;</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Net income was $383.0 million, down $43.8 million or 10.3%;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Record Adjusted EBITDA was $1.2 billion, up $46.1 million, or 4.0%;</w:t>
      </w:r>
    </w:p>
    <w:p>
      <w:pPr>
        <w:pStyle w:val="TextBody"/>
        <w:bidi w:val="0"/>
        <w:spacing w:lineRule="auto" w:line="288" w:before="60" w:after="120"/>
        <w:jc w:val="both"/>
        <w:rPr>
          <w:rFonts w:ascii="Times New Roman;serif" w:hAnsi="Times New Roman;serif"/>
          <w:b/>
          <w:i/>
          <w:color w:val="000000"/>
          <w:sz w:val="20"/>
          <w:u w:val="single"/>
        </w:rPr>
      </w:pPr>
      <w:r>
        <w:rPr>
          <w:rFonts w:ascii="Times New Roman;serif" w:hAnsi="Times New Roman;serif"/>
          <w:b/>
          <w:i/>
          <w:color w:val="000000"/>
          <w:sz w:val="20"/>
          <w:u w:val="single"/>
        </w:rPr>
        <w:t>Live and Historical Racing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Adjusted EBITDA was $637.0 million, up $62.4 million or 10.9% from fiscal year 2024. </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Churchill Downs Racetrack:</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Churchill Downs Racetrack ran the 151st Kentucky Derby on the first Saturday of May, generating all-time handle record for the Kentucky Derby Race, Kentucky Derby Day Program, and Kentucky Derby Week races with nearly 147,00 fans gathered in person to watch the most exciting two minutes in sports.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Starting Gate Pavilion and Courtyard was completed for the 151st running of the Kentucky Derby. The renovations updated seating options and created a more upscale social environment with new concessions, bars, and wagering windows.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announced NBC Sports will showcase the Kentucky Oaks in prime time for the first time ever in 2026.</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are investing up to $30.0 million to renovate the existing Finish Line Suites and The Mansion for the 152nd Kentucky Derby in May 2026.</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are investing $280.0 to $300.0 million to build a new building on the first turn of the Churchill Downs Racetrack between the First Turn Club and the Skye Terrace. The Company anticipates construction of this new building will begin following the 2026 Kentucky Derby and will be completed by the 2028 Kentucky Derby. </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Kentucky:</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Western Kentucky: </w:t>
      </w:r>
      <w:r>
        <w:rPr>
          <w:rFonts w:ascii="Times New Roman;serif" w:hAnsi="Times New Roman;serif"/>
          <w:b w:val="false"/>
          <w:color w:val="000000"/>
          <w:sz w:val="20"/>
        </w:rPr>
        <w:t>Opened Owensboro Racing &amp; Gaming ("Owensboro") in Owensboro, Kentucky in February 2025 with 600 HRMs, food and beverage offerings, a retail sportsbook, and a simulcast wagering area.</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Southwestern Kentucky: </w:t>
      </w:r>
      <w:r>
        <w:rPr>
          <w:rFonts w:ascii="Times New Roman;serif" w:hAnsi="Times New Roman;serif"/>
          <w:b w:val="false"/>
          <w:color w:val="000000"/>
          <w:sz w:val="20"/>
        </w:rPr>
        <w:t>Held the grand opening for Marshall Yards Racing &amp; Gaming ("Marshall Yards") on February 25, 2026 in Calvert City, Kentucky. The new HRM entertainment venue has 225 HRMs, a sports bar, a retail sportsbook, and a simulcast wagering area.</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Virginia: </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Northern Virginia: </w:t>
      </w:r>
      <w:r>
        <w:rPr>
          <w:rFonts w:ascii="Times New Roman;serif" w:hAnsi="Times New Roman;serif"/>
          <w:b w:val="false"/>
          <w:color w:val="000000"/>
          <w:sz w:val="20"/>
        </w:rPr>
        <w:t>Continued to grow The Rose Gaming Resort ("The Rose") in Dumfries, Virginia during its first full year of operation. The Rose has 1,610 HRMs, a 102-room hotel, food and beverage offerings, a simulcast wagering area, and event space</w:t>
      </w:r>
      <w:r>
        <w:rPr>
          <w:rFonts w:ascii="Times New Roman;serif" w:hAnsi="Times New Roman;serif"/>
          <w:b/>
          <w:color w:val="000000"/>
          <w:sz w:val="20"/>
        </w:rPr>
        <w:t xml:space="preserve">. </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Central Virginia: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Completed the expansion of the Richmond, Virginia HRM in August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Opened Roseshire Gaming Parlor ("Roseshire") in Henrico County in September 2025 with 175 HRMs, food and beverage offerings, and a simulcast wagering area. </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New Hampshire: </w:t>
      </w:r>
      <w:r>
        <w:rPr>
          <w:rFonts w:ascii="Times New Roman;serif" w:hAnsi="Times New Roman;serif"/>
          <w:b w:val="false"/>
          <w:color w:val="000000"/>
          <w:sz w:val="20"/>
        </w:rPr>
        <w:t xml:space="preserve">Acquired 90% of the outstanding equity interests related to Casino Salem in Salem, New Hampshire in August 2025. The Company announced in January 2026 that Casino Salem will be redeveloped as Rockingham Grand Casino ("Rockingham"). Rockingham will occupy a 160,000 square-foot facility at Rockingham Mall. The venue will feature 825 historical racing machines, 32 table games, 12 electronic table game seats, a 900-seat live entertainment venue, and several food and beverage concepts, including a center bar and full-service sports bar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 The Company plans to open Rockingham in mid-2027 with an expected capital investment of $180.0 to $200.0 million. </w:t>
      </w:r>
    </w:p>
    <w:p>
      <w:pPr>
        <w:pStyle w:val="TextBody"/>
        <w:bidi w:val="0"/>
        <w:spacing w:lineRule="auto" w:line="288" w:before="60" w:after="120"/>
        <w:jc w:val="both"/>
        <w:rPr>
          <w:rFonts w:ascii="Times New Roman;serif" w:hAnsi="Times New Roman;serif"/>
          <w:b/>
          <w:i/>
          <w:color w:val="000000"/>
          <w:sz w:val="20"/>
          <w:u w:val="single"/>
        </w:rPr>
      </w:pPr>
      <w:r>
        <w:rPr>
          <w:rFonts w:ascii="Times New Roman;serif" w:hAnsi="Times New Roman;serif"/>
          <w:b/>
          <w:i/>
          <w:color w:val="000000"/>
          <w:sz w:val="20"/>
          <w:u w:val="single"/>
        </w:rPr>
        <w:t>Wagering Services and Solutions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was $177.3 million, up $11.7 million or 7.1% from fiscal year 2024.</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expanded Exacta technology and product offerings to customers in new states.</w:t>
      </w:r>
    </w:p>
    <w:p>
      <w:pPr>
        <w:pStyle w:val="TextBody"/>
        <w:bidi w:val="0"/>
        <w:spacing w:lineRule="auto" w:line="288" w:before="60" w:after="120"/>
        <w:jc w:val="both"/>
        <w:rPr>
          <w:rFonts w:ascii="Times New Roman;serif" w:hAnsi="Times New Roman;serif"/>
          <w:b/>
          <w:i/>
          <w:color w:val="000000"/>
          <w:sz w:val="20"/>
          <w:u w:val="single"/>
        </w:rPr>
      </w:pPr>
      <w:r>
        <w:rPr>
          <w:rFonts w:ascii="Times New Roman;serif" w:hAnsi="Times New Roman;serif"/>
          <w:b/>
          <w:i/>
          <w:color w:val="000000"/>
          <w:sz w:val="20"/>
          <w:u w:val="single"/>
        </w:rPr>
        <w:t>Gaming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was $483.0 million, down $23.9 million or 4.7% from fiscal year 2024.</w:t>
      </w:r>
    </w:p>
    <w:p>
      <w:pPr>
        <w:pStyle w:val="TextBody"/>
        <w:bidi w:val="0"/>
        <w:spacing w:lineRule="auto" w:line="288" w:before="60" w:after="120"/>
        <w:ind w:left="0" w:right="0" w:hanging="360"/>
        <w:jc w:val="both"/>
        <w:rPr/>
      </w:pPr>
      <w:r>
        <w:rPr>
          <w:color w:val="000000"/>
        </w:rPr>
        <w:t>•</w:t>
      </w:r>
      <w:r>
        <w:rPr>
          <w:rFonts w:ascii="Times New Roman;serif" w:hAnsi="Times New Roman;serif"/>
          <w:b/>
          <w:color w:val="000000"/>
          <w:sz w:val="20"/>
        </w:rPr>
        <w:t xml:space="preserve">Terre Haute Casino Resort ("Terre Haute"): </w:t>
      </w:r>
      <w:r>
        <w:rPr>
          <w:rFonts w:ascii="Times New Roman;serif" w:hAnsi="Times New Roman;serif"/>
          <w:b w:val="false"/>
          <w:color w:val="000000"/>
          <w:sz w:val="20"/>
        </w:rPr>
        <w:t>Continued to grow the Terre Haute Casino Resort during its first full year of operation. Terre Haute has over 1,000 slot machines, table games, a 400,000 square-foot entertainment venue, food and beverage offerings, and a retail sportsbook.</w:t>
      </w:r>
    </w:p>
    <w:p>
      <w:pPr>
        <w:pStyle w:val="TextBody"/>
        <w:bidi w:val="0"/>
        <w:spacing w:lineRule="auto" w:line="288" w:before="60" w:after="120"/>
        <w:jc w:val="both"/>
        <w:rPr>
          <w:rFonts w:ascii="Times New Roman;serif" w:hAnsi="Times New Roman;serif"/>
          <w:b/>
          <w:i/>
          <w:color w:val="000000"/>
          <w:sz w:val="20"/>
          <w:u w:val="single"/>
        </w:rPr>
      </w:pPr>
      <w:r>
        <w:rPr>
          <w:rFonts w:ascii="Times New Roman;serif" w:hAnsi="Times New Roman;serif"/>
          <w:b/>
          <w:i/>
          <w:color w:val="000000"/>
          <w:sz w:val="20"/>
          <w:u w:val="single"/>
        </w:rPr>
        <w:t>All Other: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repurchased $425.3 million of shares under our share repurchase programs in 2025, based on trade date.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continued in our ESG efforts with the ongoing promotion of responsible gaming; initiatives at our properties to lessen energy and water usage, to decrease carbon emissions, and to responsibly manage waste; increasing investments in the communities in which we operate and supporting our teams through educational and leadership development; and increasing engagement with our shareholders.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remain committed to delivering strong financial results and long-term sustainable growth. Our businesses generate strong cash flow, and we have a solid balance sheet that supports our organic growth as well as strategic acquisitions that we believe will create long-term value for our shareholders.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operations through three reportable segments: Live and Historical Racing, Wagering Services and Solutions, and Gaming.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Part I, Item 1. Business, of this Annual Report on Form 10-K for more information on our segments and a description of our competition and government regulations and potential legislative changes that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Consolidated Financial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net revenue, operating income, net income, Adjusted EBITDA, and certain other financial information:</w:t>
      </w:r>
    </w:p>
    <w:tbl>
      <w:tblPr>
        <w:tblW w:w="8811" w:type="dxa"/>
        <w:jc w:val="left"/>
        <w:tblInd w:w="0" w:type="dxa"/>
        <w:tblLayout w:type="fixed"/>
        <w:tblCellMar>
          <w:top w:w="28" w:type="dxa"/>
          <w:left w:w="28" w:type="dxa"/>
          <w:bottom w:w="28" w:type="dxa"/>
          <w:right w:w="28" w:type="dxa"/>
        </w:tblCellMar>
      </w:tblPr>
      <w:tblGrid>
        <w:gridCol w:w="1693"/>
        <w:gridCol w:w="1486"/>
        <w:gridCol w:w="1501"/>
        <w:gridCol w:w="211"/>
        <w:gridCol w:w="766"/>
        <w:gridCol w:w="271"/>
        <w:gridCol w:w="109"/>
        <w:gridCol w:w="109"/>
        <w:gridCol w:w="109"/>
        <w:gridCol w:w="211"/>
        <w:gridCol w:w="766"/>
        <w:gridCol w:w="271"/>
        <w:gridCol w:w="109"/>
        <w:gridCol w:w="109"/>
        <w:gridCol w:w="109"/>
        <w:gridCol w:w="211"/>
        <w:gridCol w:w="61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 Incorporated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Year Ended December 31, 2025 Compared to the Year Ended December 31, 2024</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revenue increased $191.6 million driven by a $169.1 million increase from the Live and Historical Racing segment primarily due to the opening of The Rose in November 2024, the opening of Owensboro Racing and Gaming in February 2025, the opening of Roseshire in September 2025, the acquisition of Casino Salem in August 2025, and growth at our other HRM properties, a $18.7 million increase from the Wagering Services and Solutions segment primarily due to increased Derby Week wagering at TwinSpires Horse Racing and Exacta, and a $3.8 million increase from the Gaming segment primarily driven by the opening of the Terre Haute in April 2024, partially offset by net decreases at our nine other wholly owned gaming properties.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Operating income decreased $25.2 million driven by an increase in impairment expense of $43.6 million primarily related to the net impairment of Chasers' gaming rights, a $17.2 million increase in transaction expenses, a $10.3 million decrease from our Gaming segment, an $8.5 million increase in SG&amp;A expense, and a $2.6 million decrease from All Other. These decreases were partially offset by a $43.1 million increase from the Live and Historical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driven by the opening of The Rose in November 2024, the opening of Owensboro in February 2025, Casino Salem in August 2025, and Roseshire in September 2025, and an $13.9 million increase from Wagering Services and Solutions.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Net income attributable to Churchill Downs Incorporated decreased $43.8 million. A $33.0 million after-tax increase in impairment charges in the current year primarily due to the impairment of the Chasers' gaming rights, a $3.8 million after-tax increase of other charges and recoveries, net, a $3.5 million after-tax increase in transaction, pre-opening, and other expenses, and a $3.0 million valuation allowance established primarily for unrealizable state deferred tax assets impacted the comparability of the Company's net income for the year ended December 31, 2025 compared to the year ended December 31, 2024. Excluding these items, net income attributable to CDI decreased $0.5 million due to a $2.4 million after-tax increase in interest expense associated primarily with higher outstanding debt balances and higher interest rates, and a $0.2 million after-tax decrease related to the income attributable to the noncontrolling interest of United Tote and Casino Salem, partially offset by a $2.1 after-tax increase driven by the results of our operations.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increased $46.1 million driven by a $62.4 million increase from the Live and Historical Racing segment primarily due to the opening of The Rose in Northern Virginia in November 2024, and a $11.7 million increase from the Wagering Services and Solutions segment primarily due to Exacta. These increases were partially offset by a $23.9 million decrease from the Gaming segment driven by net decreases at our wholly owned gaming properties and equity investments, offset by the opening of the Terre Haute in April 2024, and a $4.1 million decrease from All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both"/>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for our segments, including intercompany revenues:</w:t>
      </w:r>
    </w:p>
    <w:tbl>
      <w:tblPr>
        <w:tblW w:w="6612" w:type="dxa"/>
        <w:jc w:val="left"/>
        <w:tblInd w:w="0" w:type="dxa"/>
        <w:tblLayout w:type="fixed"/>
        <w:tblCellMar>
          <w:top w:w="28" w:type="dxa"/>
          <w:left w:w="28" w:type="dxa"/>
          <w:bottom w:w="28" w:type="dxa"/>
          <w:right w:w="28" w:type="dxa"/>
        </w:tblCellMar>
      </w:tblPr>
      <w:tblGrid>
        <w:gridCol w:w="1014"/>
        <w:gridCol w:w="891"/>
        <w:gridCol w:w="900"/>
        <w:gridCol w:w="211"/>
        <w:gridCol w:w="766"/>
        <w:gridCol w:w="109"/>
        <w:gridCol w:w="109"/>
        <w:gridCol w:w="109"/>
        <w:gridCol w:w="109"/>
        <w:gridCol w:w="211"/>
        <w:gridCol w:w="766"/>
        <w:gridCol w:w="109"/>
        <w:gridCol w:w="109"/>
        <w:gridCol w:w="109"/>
        <w:gridCol w:w="109"/>
        <w:gridCol w:w="211"/>
        <w:gridCol w:w="61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Year Ended December 31, 2025 Compared to the Year Ended December 31, 2024</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Live and Historical Racing revenue increased $175.4 million due to an $88.3 million increase from our Virginia HRM venues, a $72.6 million increase from our Kentucky HRM venues, an $8.4 million increase from Churchill Downs Racetrack, and a $6.1 million increase primarily from our New Hampshire venues. The Virginia HRM increase was primarily due to an $82.7 million net increase from our Northern Virginia venues and a $10.6 million net increase from our Central Virginia venues primarily from the September 2025 opening of our Roseshire HRM venue, partially offset by a $5.0 million net decrease primarily from our Western and Southern Virginia venues. The Kentucky HRM increase was primarily due to a $40.1 million net increase from our Western Kentucky venues, a $14.5 million increase from our Northern Kentucky venues, a $10.0 million increase from our Southwestern venue, and an $8.0 million increase from our Louisville venues.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revenue increased $25.6 million due to an $11.8 million increase in TwinSpires Horse Racing primarily due to Derby Week wagering, an $11.1 million increase from Exacta attributable to incremental HRMs in our owned HRM venues, and a $2.7 million increase from our sports betting business.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Gaming revenue increased $3.9 million due to a $33.3 million increase primarily attributable to the opening of the Terre Haute Casino Resort in April 2024, partially offset by an $18.9 million decrease from the cessation of HRM operations in Louisiana, a $5.1 million decrease in Mississippi primarily from temporary roadwork impacting Riverwalk and the impact of a local curfew on Harlow's, and a $5.4 million net decrease at our six other wholly owned gaming properties.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All Other revenue increased $2.1 million primarily due to intercompany revenue related to the captive insurance company that was established in April 2024. All captive revenue is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Consolidated Operating Expense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consolidated operating expense:</w:t>
      </w:r>
    </w:p>
    <w:tbl>
      <w:tblPr>
        <w:tblW w:w="8124" w:type="dxa"/>
        <w:jc w:val="left"/>
        <w:tblInd w:w="0" w:type="dxa"/>
        <w:tblLayout w:type="fixed"/>
        <w:tblCellMar>
          <w:top w:w="28" w:type="dxa"/>
          <w:left w:w="28" w:type="dxa"/>
          <w:bottom w:w="28" w:type="dxa"/>
          <w:right w:w="28" w:type="dxa"/>
        </w:tblCellMar>
      </w:tblPr>
      <w:tblGrid>
        <w:gridCol w:w="1322"/>
        <w:gridCol w:w="1162"/>
        <w:gridCol w:w="1175"/>
        <w:gridCol w:w="423"/>
        <w:gridCol w:w="359"/>
        <w:gridCol w:w="362"/>
        <w:gridCol w:w="217"/>
        <w:gridCol w:w="217"/>
        <w:gridCol w:w="217"/>
        <w:gridCol w:w="423"/>
        <w:gridCol w:w="348"/>
        <w:gridCol w:w="373"/>
        <w:gridCol w:w="109"/>
        <w:gridCol w:w="109"/>
        <w:gridCol w:w="109"/>
        <w:gridCol w:w="211"/>
        <w:gridCol w:w="616"/>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purses</w:t>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(benefit), net</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Year Ended December 31, 2025 Compared to the Year Ended December 31, 2024</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$216.8 million for the year ended December 31, 2025 compared to December 31, 2024 primarily due to the openings of Terre Haute in Indiana in April 2024 and the hotel in May 2024, The Rose in Virginia in November 2024, Owensboro in February 2025, and the Roseshire in September 2025, as well as the renovation and expansion of our Richmond venue and the addition of the temporary facility at Casino Salem in New Hampshire. Asset impairments for the year ended December 31, 2025 include a $2.4 million write-off in the second quarter of 2025 of HRMs in Virginia that are no longer in use and a $45.1 million net impairment of the gaming rights for Chasers Poker Room in the third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Adjusted EBITDA by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tbl>
      <w:tblPr>
        <w:tblW w:w="6507" w:type="dxa"/>
        <w:jc w:val="left"/>
        <w:tblInd w:w="0" w:type="dxa"/>
        <w:tblLayout w:type="fixed"/>
        <w:tblCellMar>
          <w:top w:w="28" w:type="dxa"/>
          <w:left w:w="28" w:type="dxa"/>
          <w:bottom w:w="28" w:type="dxa"/>
          <w:right w:w="28" w:type="dxa"/>
        </w:tblCellMar>
      </w:tblPr>
      <w:tblGrid>
        <w:gridCol w:w="1014"/>
        <w:gridCol w:w="891"/>
        <w:gridCol w:w="900"/>
        <w:gridCol w:w="211"/>
        <w:gridCol w:w="766"/>
        <w:gridCol w:w="109"/>
        <w:gridCol w:w="109"/>
        <w:gridCol w:w="109"/>
        <w:gridCol w:w="109"/>
        <w:gridCol w:w="211"/>
        <w:gridCol w:w="766"/>
        <w:gridCol w:w="109"/>
        <w:gridCol w:w="109"/>
        <w:gridCol w:w="109"/>
        <w:gridCol w:w="109"/>
        <w:gridCol w:w="211"/>
        <w:gridCol w:w="51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Year Ended December 31, 2025 Compared to the Year Ended December 31, 2024</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Live and Historical Racing Adjusted EBITDA increased $62.4 million due to a $41.4 million increase from our Kentucky HRM venues, an $18.7 million increase from our Virginia HRM venues, a $1.6 million increase primarily from our New Hampshire venues, and a $0.7 million increase from Churchill Downs Racetrack. The Kentucky HRM increase was primarily due to a $13.6 million net increase from our Western Kentucky venues, an $11.8 million increase from our Northern Kentucky venues, a $10.1 million increase from our Louisville venues, and a $5.9 million net increase from our Southwestern Kentucky venues. The Virginia HRM increase was primarily due to a $24.1 million net increase from our Northern Virginia venues, which includes $3.5 million of one-time business interruption insurance recovery related to the delayed opening of The Rose Gaming Resort in fourth quarter 2024, and a $1.8 million decrease in government relations expense, partially offset by a $7.2 million net decrease primarily from our Western and Southern Virginia venues.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Adjusted EBITDA increased $11.7 million due to a $9.2 million increase from Exacta attributable to incremental HRMs in our owned HRM venues, and a $4.2 million increase from our sports betting business, partially offset by a $1.7 million decrease attributable to TwinSpires Horse Racing due to increased legal expenses.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Gaming Adjusted EBITDA decreased $23.9 million. Our wholly owned gaming properties decreased $15.5 million primarily due to an $8.1 million decrease from the cessation of HRM operations in Louisiana, a $4.6 million decrease in Mississippi from temporary roadwork impacting Riverwalk and the impact of a local curfew on Harlow's, a $6.9 million net decrease at our six other wholly owned gaming properties, partially offset by a $4.1 million increase primarily attributable to the opening of the Terre Haute Casino Resort in April 2024. Our equity investments decreased $8.4 million due to a $7.8 million decrease from Rivers Des Plaines due to increased competition and a $0.6 million decrease from Miami Valley Gaming.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decreased $4.1 million driven primarily by increased corporate administrative expenses offset by income related to our captive insurance company.</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10137" w:type="dxa"/>
        <w:jc w:val="left"/>
        <w:tblInd w:w="0" w:type="dxa"/>
        <w:tblLayout w:type="fixed"/>
        <w:tblCellMar>
          <w:top w:w="28" w:type="dxa"/>
          <w:left w:w="28" w:type="dxa"/>
          <w:bottom w:w="28" w:type="dxa"/>
          <w:right w:w="28" w:type="dxa"/>
        </w:tblCellMar>
      </w:tblPr>
      <w:tblGrid>
        <w:gridCol w:w="2294"/>
        <w:gridCol w:w="2019"/>
        <w:gridCol w:w="2047"/>
        <w:gridCol w:w="211"/>
        <w:gridCol w:w="766"/>
        <w:gridCol w:w="109"/>
        <w:gridCol w:w="109"/>
        <w:gridCol w:w="109"/>
        <w:gridCol w:w="109"/>
        <w:gridCol w:w="211"/>
        <w:gridCol w:w="766"/>
        <w:gridCol w:w="109"/>
        <w:gridCol w:w="109"/>
        <w:gridCol w:w="109"/>
        <w:gridCol w:w="109"/>
        <w:gridCol w:w="211"/>
        <w:gridCol w:w="586"/>
        <w:gridCol w:w="154"/>
      </w:tblGrid>
      <w:tr>
        <w:trPr/>
        <w:tc>
          <w:tcPr>
            <w:tcW w:w="229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Churchill Downs Incorporated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Net income attributable to noncontrolling interests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Net income </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(benefit),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Rivers Des Plaines' legal reserves and transactions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overall financial position:</w:t>
      </w:r>
    </w:p>
    <w:tbl>
      <w:tblPr>
        <w:tblW w:w="5151" w:type="dxa"/>
        <w:jc w:val="left"/>
        <w:tblInd w:w="0" w:type="dxa"/>
        <w:tblLayout w:type="fixed"/>
        <w:tblCellMar>
          <w:top w:w="28" w:type="dxa"/>
          <w:left w:w="28" w:type="dxa"/>
          <w:bottom w:w="28" w:type="dxa"/>
          <w:right w:w="28" w:type="dxa"/>
        </w:tblCellMar>
      </w:tblPr>
      <w:tblGrid>
        <w:gridCol w:w="813"/>
        <w:gridCol w:w="716"/>
        <w:gridCol w:w="720"/>
        <w:gridCol w:w="211"/>
        <w:gridCol w:w="406"/>
        <w:gridCol w:w="109"/>
        <w:gridCol w:w="109"/>
        <w:gridCol w:w="109"/>
        <w:gridCol w:w="109"/>
        <w:gridCol w:w="211"/>
        <w:gridCol w:w="406"/>
        <w:gridCol w:w="109"/>
        <w:gridCol w:w="109"/>
        <w:gridCol w:w="109"/>
        <w:gridCol w:w="109"/>
        <w:gridCol w:w="217"/>
        <w:gridCol w:w="419"/>
        <w:gridCol w:w="160"/>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billions)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assets increased $0.2 billion driven by increased other intangible assets due to the acquisition of Casino Salem and capital expenditures primarily due to the Churchill Downs Racetrack Starting Gate Pavilion and Courtyard, Roseshire Gaming Parlor, completed expansion of Rosie's Richmond, Marshall Yards Racing &amp; Gaming, and Owensboro Racing &amp; Gaming in Western Kentucky. These increases are partially offset by Chasers' gaming right non-cash impairment.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liabilities increased $0.2 billion driven primarily by an increase in the outstanding balance on the Revolver, which is included in long-term debt, and increases in deferred income taxes. These increases were partially offset by decreased other noncurrent liabilities related to the settlement of the liability associated with Chasers' gaming rights.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shareholders’ equity decreased $0.1 billion driven by share repurchases and cash dividends, partially offset by net income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have been and will continue to be cash flow from operations, borrowings under our credit facility, and proceeds from the issuance of debt securities. Our ongoing liquidity will depend on a number of factors, including available cash resources, cash flow from operations, acquisitions or equity investments, funding of construction for development projects, and our compliance with our covenants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liquidity and cash flows:</w:t>
      </w:r>
    </w:p>
    <w:tbl>
      <w:tblPr>
        <w:tblW w:w="5219" w:type="dxa"/>
        <w:jc w:val="left"/>
        <w:tblInd w:w="0" w:type="dxa"/>
        <w:tblLayout w:type="fixed"/>
        <w:tblCellMar>
          <w:top w:w="28" w:type="dxa"/>
          <w:left w:w="28" w:type="dxa"/>
          <w:bottom w:w="28" w:type="dxa"/>
          <w:right w:w="28" w:type="dxa"/>
        </w:tblCellMar>
      </w:tblPr>
      <w:tblGrid>
        <w:gridCol w:w="629"/>
        <w:gridCol w:w="553"/>
        <w:gridCol w:w="558"/>
        <w:gridCol w:w="221"/>
        <w:gridCol w:w="647"/>
        <w:gridCol w:w="114"/>
        <w:gridCol w:w="114"/>
        <w:gridCol w:w="114"/>
        <w:gridCol w:w="114"/>
        <w:gridCol w:w="221"/>
        <w:gridCol w:w="647"/>
        <w:gridCol w:w="114"/>
        <w:gridCol w:w="109"/>
        <w:gridCol w:w="109"/>
        <w:gridCol w:w="109"/>
        <w:gridCol w:w="211"/>
        <w:gridCol w:w="48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Operating Cash Flow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decreased $1.9 million driven by a decrease in other assets and liabilities and decreased distributions from our unconsolidated affiliates.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Investing Cash Flow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decreased $73.7 million primarily driven by a decrease in capital expenditures in 2025, partially offset by the Salem Transaction.</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Financing Cash Flow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financing activities increased $65.9 million primarily driven by the increase in share repurchases in 2025, partially offset by an increase in borrowings on the Revolver to fund the Salem Transaction.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Included in cash flows from investing activities are capital maintenance expenditures and capital project expenditures. Capital maintenance expenditures relate to the replacement of existing fixed assets with a useful life greater than one year that are obsolete, exhausted, or no longer cost effective to repair. Capital project expenditures represent fixed asset additions related to land or building improvements to new or existing assets or purchases of new (non-replacement) equipment or software related to specific projects deemed necessary expenditures.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spent $204.7 million in 2025 on project capital investments including: Churchill Downs Racetrack, Roseshire, Owensboro, Marshall Yards, and Rosie's Richmond. We currently expect our project capital to be approximately $180.0 to $220.0 million in 2026, although this amount may vary significantly based on the timing of work completed, unanticipated delays, and timing of payments to third parties.</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prior March 2025 Stock Repurchase Program and is also not in addition to the $125.6 million previously remaining under the prior 2021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$429.5 million of repurchase authority remaining under the July 2025 Stock Repurchase Program at December 31, 2025, based on trade date. </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21, 2025, the Company's Board of Directors approved an annual cash dividend on our common stock of $0.438 per outstanding share, which represented a 7% increase over the prior year. The dividend was payable on January 6, 2026 to shareholders of record as of the close of business on December 5, 2025. The 7% increase marked the fifteenth consecutive year that the Company has increased the dividend. The payment and amount of future dividends will be determined by the Board of Directors and will depend upon, among other things, our operating results, financial condition, cash requirements and general business conditions at the time such payment is considered.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 xml:space="preserve">Credit Facilities and Indebtedness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debt outstanding, bond premium and debt issuance costs:</w:t>
      </w:r>
    </w:p>
    <w:tbl>
      <w:tblPr>
        <w:tblW w:w="6852" w:type="dxa"/>
        <w:jc w:val="left"/>
        <w:tblInd w:w="0" w:type="dxa"/>
        <w:tblLayout w:type="fixed"/>
        <w:tblCellMar>
          <w:top w:w="28" w:type="dxa"/>
          <w:left w:w="28" w:type="dxa"/>
          <w:bottom w:w="28" w:type="dxa"/>
          <w:right w:w="28" w:type="dxa"/>
        </w:tblCellMar>
      </w:tblPr>
      <w:tblGrid>
        <w:gridCol w:w="1101"/>
        <w:gridCol w:w="967"/>
        <w:gridCol w:w="977"/>
        <w:gridCol w:w="211"/>
        <w:gridCol w:w="766"/>
        <w:gridCol w:w="109"/>
        <w:gridCol w:w="109"/>
        <w:gridCol w:w="109"/>
        <w:gridCol w:w="109"/>
        <w:gridCol w:w="211"/>
        <w:gridCol w:w="766"/>
        <w:gridCol w:w="109"/>
        <w:gridCol w:w="109"/>
        <w:gridCol w:w="109"/>
        <w:gridCol w:w="109"/>
        <w:gridCol w:w="211"/>
        <w:gridCol w:w="61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 and fees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Company’s senior secured credit facility (as amended from time to time, the "Credit Agreement") consisted of a $1.2 billion revolving credit facility (the "Revolver"), $285.8 million senior secured term loan B-1 due 2028 (the "Term Loan B-1"), $1.1 billion senior secured term loan A due 2029 (the "Term Loan A"), and $100.0 million swing line commitment. Certain amendments to the Credit Agreement entered into during 2023, 2024, and 2025 are described below.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2023, the Company closed an amendment of the Credit Agreement to increase the loans under the Term Loan A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On July 3, 2024, the Company closed an amendment of the Credit Agreement to extend the maturity date of the Revolver and Term Loan A from 2027 to 2029 and amend certain other provisions of the Credit Agreement. The Company has $4.4 million of capitalized unamortized debt issuance costs associated with the Term Loan A which are being amortized as interest expense over the remainder of the term.</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for the Term Loan B-1 from Secured Overnight Financing Rate ("SOFR") plus 200 basis points to SOFR plus 175 basis points, (ii) eliminates the 0.10% credit spread adjustment, and (iii) makes certain other amendments to the Credit Agreement. </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B-1 requires quarterly payments of 0.25% of the original $300.0 million balance and may be subject to additional mandatory prepayment from excess cash flow on an annual basis per the provisions of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December 31, 2025, that applicable margin was 150 basis points which was based on the pricing grid in the Credit Agreement. The Company had $534.8 million available borrowing capacity, after consideration of $8.2 million in outstanding letters of credit, under the Revolver as of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a commitment fee on the unused portion of the Revolver as determined by a pricing grid based on the consolidated total net secured leverage ratio of the Company. For the period ended December 31, 2025, the Company's commitment fee rate was 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completed the transition of its financing from London Interbank Offered Rate to SOFR during the second quarter of 2023. These transition activities did not have a material impact on the Company’s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7283" w:type="dxa"/>
        <w:jc w:val="left"/>
        <w:tblInd w:w="0" w:type="dxa"/>
        <w:tblLayout w:type="fixed"/>
        <w:tblCellMar>
          <w:top w:w="28" w:type="dxa"/>
          <w:left w:w="28" w:type="dxa"/>
          <w:bottom w:w="28" w:type="dxa"/>
          <w:right w:w="28" w:type="dxa"/>
        </w:tblCellMar>
      </w:tblPr>
      <w:tblGrid>
        <w:gridCol w:w="1160"/>
        <w:gridCol w:w="1018"/>
        <w:gridCol w:w="1025"/>
        <w:gridCol w:w="182"/>
        <w:gridCol w:w="182"/>
        <w:gridCol w:w="182"/>
        <w:gridCol w:w="109"/>
        <w:gridCol w:w="109"/>
        <w:gridCol w:w="109"/>
        <w:gridCol w:w="559"/>
        <w:gridCol w:w="559"/>
        <w:gridCol w:w="561"/>
        <w:gridCol w:w="109"/>
        <w:gridCol w:w="109"/>
        <w:gridCol w:w="109"/>
        <w:gridCol w:w="351"/>
        <w:gridCol w:w="351"/>
        <w:gridCol w:w="499"/>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Actual 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Requirement</w:t>
            </w:r>
          </w:p>
        </w:tc>
      </w:tr>
      <w:tr>
        <w:trPr/>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coverage ratio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2.5 to 1.0</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secured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 to 1.0</w:t>
            </w:r>
          </w:p>
        </w:tc>
      </w:tr>
    </w:tbl>
    <w:p>
      <w:pPr>
        <w:pStyle w:val="TextBody"/>
        <w:bidi w:val="0"/>
        <w:spacing w:lineRule="auto" w:line="27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was compliant with all applicable covenants on December 31, 2025.</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2027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2019, the Company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In connection with the offering, we capitalized $8.9 million of debt issuance costs which are being amortized as interest expense over the term of the 2027 Senior Notes. </w:t>
      </w:r>
    </w:p>
    <w:p>
      <w:pPr>
        <w:pStyle w:val="TextBody"/>
        <w:bidi w:val="0"/>
        <w:spacing w:lineRule="auto" w:line="288" w:before="60" w:after="120"/>
        <w:jc w:val="both"/>
        <w:rPr/>
      </w:pPr>
      <w:r>
        <w:rPr>
          <w:rFonts w:ascii="Times New Roman;serif" w:hAnsi="Times New Roman;serif"/>
          <w:b w:val="false"/>
          <w:color w:val="000000"/>
          <w:sz w:val="20"/>
        </w:rPr>
        <w:t>The 2027 Senior Notes were issued at par, with interest payable on April 1st and October 1st of each year, commencing on October 1, 2019. T</w:t>
      </w:r>
      <w:r>
        <w:rPr>
          <w:rFonts w:ascii="Times New Roman;serif" w:hAnsi="Times New Roman;serif"/>
          <w:b w:val="false"/>
          <w:color w:val="000000"/>
          <w:sz w:val="20"/>
          <w:shd w:fill="FFFFFF" w:val="clear"/>
        </w:rPr>
        <w:t>he 2027 Senior Notes will vote as one class under the indenture governing the 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the 2027 Senior Notes at redemption prices set forth in the 2027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27, 2017, the Company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15th and July 15th 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Additional 2028 Notes were issued at 103.25% of the principal amount, plus interest deemed to have accrued from January 15, 2021, with interest payable on January 15th and July 15th of each year, commencing on July 15, 2021. The 2028 Senior Notes will vote as one class under the indenture governing the 2028 Senior Notes. The 3.25% premium is being amortized through interest expense, net over the term of the Additional 2028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acquisition of substantially all of the assets of Peninsula Pacific Entertainment LLC. In connection with the offering, we capitalized $18.3 million of debt issuance costs which are being amortized as interest expense over the term of the 2030 Senior Notes. </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2030 Senior Notes were issued at 100% of the principal amount, plus interest deemed to have accrued from April 13, 2022, with interest payable in arrears on April 1st and October 1st of each year, commencing on October 1, 2022. The 2030 Senior Notes will vote as one class under the indenture governing the 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the 2030 Senior Notes at redemption prices set forth in the 2030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2031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April 25, 2023, the Company completed an offering of $600.0 million in aggregate principal amount of 6.75%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2031 Senior Notes were issued at 100% of the principal amount, plus interest deemed to have accrued from April 25, 2023, with interest payable in arrears on May 1st and November 1st of each year, commencing on November 1, 2023. The 2031 Senior Notes will vote as one class under the indenture governing the 2031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the 2031 Senior Notes at redemption prices set forth in the 2031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Our commitments to make future payments as of December 31, 2025, are estimated as follows:</w:t>
      </w:r>
    </w:p>
    <w:tbl>
      <w:tblPr>
        <w:tblW w:w="9118" w:type="dxa"/>
        <w:jc w:val="left"/>
        <w:tblInd w:w="0" w:type="dxa"/>
        <w:tblLayout w:type="fixed"/>
        <w:tblCellMar>
          <w:top w:w="28" w:type="dxa"/>
          <w:left w:w="28" w:type="dxa"/>
          <w:bottom w:w="28" w:type="dxa"/>
          <w:right w:w="28" w:type="dxa"/>
        </w:tblCellMar>
      </w:tblPr>
      <w:tblGrid>
        <w:gridCol w:w="922"/>
        <w:gridCol w:w="809"/>
        <w:gridCol w:w="81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30"/>
        <w:gridCol w:w="671"/>
        <w:gridCol w:w="120"/>
        <w:gridCol w:w="109"/>
        <w:gridCol w:w="109"/>
        <w:gridCol w:w="109"/>
        <w:gridCol w:w="211"/>
        <w:gridCol w:w="76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Revolver </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Term Loan B-1 </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Term Loan A</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2027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2028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2030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2031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Interest includes the estimated contractual payments under our Credit Facility assuming no change in the weighted average borrowing rate of 5.34%, which was the rate in place as of December 31, 2025.</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$2.4 million of unrecognized tax benefits.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capital markets to fund the obligation. Access to capital markets and the terms under which we would fund the obligations are subject to our ability to access the market and other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and recently adopted accounting policies are more fully described in Note 2, Significant Accounting Policies to the notes to consolidated financial statements included in Item 8. Financial Statements and Supplementary Data of this Annual Report on Form 10-K.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have been prepared in conformity with GAAP, which requires management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relate to goodwill and certain indefinite-lived intangible assets.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Goodwill and certain intangible assets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Acquisition of certain identifiable 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a business, the Company records identifiable intangible assets acquired at their respective fair values as of the date of acquisition. Our indefinite-lived intangible assets primarily consist of gaming rights and trademarks. Certain of our gaming rights and trademarks are considered indefinite-lived intangible assets that do not require amortization based on our future expectations to operate our gaming facilities and use the trademarks indefinitely, and our historical experience in renewing these intangible assets at minimal cost with various state gaming commissions. Our definite-lived intangible assets primarily consist of technology and other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use various valuation methods to determine initial fair value of our intangible assets, including the Greenfield Method and relief-from-royalty method of the income approach, all of which use significant unobservable inputs, or Level 3 inputs, as defined by the fair value hierarchy. The use of these valuation methods requires us to make significant estimates and assumptions about future revenue and operating expenses, expected start-up costs, capital expenditures, royalty rate, and the discount rate. The fair values of gaming rights are generally determined using the Greenfield Method, which is an income approach methodology that calculates the present value based on a projected cash flow stream. This method assumes that the gaming rights provides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of the acquired business, and the discount rate are the primary assumptions and estimates used in these valuations. The fair values of trademarks are generally determined using the relief-from-royalty method of the income approach, which estimates the fair value of the intangible asset by discounting the fair value of the hypothetical royalty payments a market participant would be willing to pay to enjoy the benefits of the trademarks. The estimated future revenue, royalty rate, and the discount rate are the primary assumptions and estimates used in these valuations. The fair value of technology assets are generally determined using the relief-from-royalty method of the income approach, which estimates the cost savings that accrue to the owner of the intangibles asset that would otherwise be payable as royalties or license fees on revenues earned through the use of the asset. The estimated future revenue, royalty rate, and discount rate are the primary assumptions and estimates used in the valuations. The discount rates used to discount expected future cash flows to present value are generally derived from the weighted average cost of capital analysis and adjusted for the size and/or risk of the asset. Changes in estimates or the application of alternative assumptions could produce significantly different results.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Assessments of goodwill and 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perform our annual review for impairment of goodwill and indefinite-lived intangible assets on April 1st of each fiscal year, or more frequently if events or changes in circumstances indicate that it is more likely than not the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Qualitative factors include macroeconomic conditions, industry and market conditions, cost factors, and overall financial performance, among others. These factors require significant judgments and estimates, and application of alternative assumptions could produce materially different results. Evaluations of possible impairment require us to estimate, among other factors, forecasts of future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results, revenue growth, operating expense, tax rates, start-up costs, capital expenditures, depreciation, working capital, discount rates, long-term growth rates, risk premiums, royalty rates, terminal values, and fair values of our reporting units and assets. The impairment tests for goodwill and indefinite-lived intangible assets are subject to uncertainties arising from such events as changes in competitive conditions, the current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a reevaluation of our goodwill and indefinite-lived intangible assets. Changes in estimates or the application of alternative assumptions could produce significantly different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7A.QUANTITATIVE AND QUALITATIVE DISCLOSURES ABOUT MARKET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interest rate and credit risk.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General economic trends</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sensitive to consumer confidence and reductions in consumers' discretionary spending, which may result from challenging economic conditions, interest rate fluctuations,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Interest rate and credit risk</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exposure to market risk relates to changes in interest rates. On December 31, 2025, we had $2.1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$14.7 million. </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years ended December 31, </w:t>
      </w:r>
    </w:p>
    <w:tbl>
      <w:tblPr>
        <w:tblW w:w="10205" w:type="dxa"/>
        <w:jc w:val="center"/>
        <w:tblInd w:w="0" w:type="dxa"/>
        <w:tblLayout w:type="fixed"/>
        <w:tblCellMar>
          <w:top w:w="28" w:type="dxa"/>
          <w:left w:w="28" w:type="dxa"/>
          <w:bottom w:w="28" w:type="dxa"/>
          <w:right w:w="28" w:type="dxa"/>
        </w:tblCellMar>
      </w:tblPr>
      <w:tblGrid>
        <w:gridCol w:w="2334"/>
        <w:gridCol w:w="1951"/>
        <w:gridCol w:w="1961"/>
        <w:gridCol w:w="211"/>
        <w:gridCol w:w="766"/>
        <w:gridCol w:w="109"/>
        <w:gridCol w:w="109"/>
        <w:gridCol w:w="109"/>
        <w:gridCol w:w="109"/>
        <w:gridCol w:w="211"/>
        <w:gridCol w:w="766"/>
        <w:gridCol w:w="109"/>
        <w:gridCol w:w="109"/>
        <w:gridCol w:w="109"/>
        <w:gridCol w:w="109"/>
        <w:gridCol w:w="211"/>
        <w:gridCol w:w="766"/>
        <w:gridCol w:w="156"/>
      </w:tblGrid>
      <w:tr>
        <w:trPr/>
        <w:tc>
          <w:tcPr>
            <w:tcW w:w="233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common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2023</w:t>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revenue:</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net revenue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expense: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Live and Historical Racing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 impairments,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Transaction expense (benefit)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operating expense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income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(expense) income: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in income of unconsolidated affiliates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the sale of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Miscellaneous,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other (expense) income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operations before provision for income taxes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noncontrolling interests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and comprehensive income attributable to Churchill Downs Incorporated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attributable to Churchill Downs Incorporated per common share data:</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December 31,</w:t>
      </w:r>
    </w:p>
    <w:tbl>
      <w:tblPr>
        <w:tblW w:w="10205" w:type="dxa"/>
        <w:jc w:val="center"/>
        <w:tblInd w:w="0" w:type="dxa"/>
        <w:tblLayout w:type="fixed"/>
        <w:tblCellMar>
          <w:top w:w="28" w:type="dxa"/>
          <w:left w:w="28" w:type="dxa"/>
          <w:bottom w:w="28" w:type="dxa"/>
          <w:right w:w="28" w:type="dxa"/>
        </w:tblCellMar>
      </w:tblPr>
      <w:tblGrid>
        <w:gridCol w:w="3048"/>
        <w:gridCol w:w="2308"/>
        <w:gridCol w:w="2303"/>
        <w:gridCol w:w="211"/>
        <w:gridCol w:w="766"/>
        <w:gridCol w:w="109"/>
        <w:gridCol w:w="109"/>
        <w:gridCol w:w="109"/>
        <w:gridCol w:w="109"/>
        <w:gridCol w:w="211"/>
        <w:gridCol w:w="766"/>
        <w:gridCol w:w="156"/>
      </w:tblGrid>
      <w:tr>
        <w:trPr/>
        <w:tc>
          <w:tcPr>
            <w:tcW w:w="304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Investment in and advances to unconsolidated affiliates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deferred revenue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loan origination fees of $6.0 in 2025 and $7.7 in 2024)</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(net of debt issuance costs of $18.8 in 2025 and $23.8 in 2024)</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no par value; 0.3 shares authorized; no shares issued or outstanding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no par value; 300.0 shares authorized; 69.6 shares issued and outstanding December 31, 2025 and 73.5 shares at December 31, 2024</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years ended December 31, 2025, 2024 and 2023 </w:t>
      </w:r>
    </w:p>
    <w:tbl>
      <w:tblPr>
        <w:tblW w:w="10205" w:type="dxa"/>
        <w:jc w:val="center"/>
        <w:tblInd w:w="0" w:type="dxa"/>
        <w:tblLayout w:type="fixed"/>
        <w:tblCellMar>
          <w:top w:w="28" w:type="dxa"/>
          <w:left w:w="28" w:type="dxa"/>
          <w:bottom w:w="28" w:type="dxa"/>
          <w:right w:w="28" w:type="dxa"/>
        </w:tblCellMar>
      </w:tblPr>
      <w:tblGrid>
        <w:gridCol w:w="1163"/>
        <w:gridCol w:w="552"/>
        <w:gridCol w:w="554"/>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559"/>
        <w:gridCol w:w="1116"/>
        <w:gridCol w:w="289"/>
        <w:gridCol w:w="109"/>
        <w:gridCol w:w="109"/>
        <w:gridCol w:w="109"/>
        <w:gridCol w:w="109"/>
        <w:gridCol w:w="109"/>
        <w:gridCol w:w="109"/>
        <w:gridCol w:w="109"/>
        <w:gridCol w:w="301"/>
        <w:gridCol w:w="1096"/>
        <w:gridCol w:w="227"/>
      </w:tblGrid>
      <w:tr>
        <w:trPr/>
        <w:tc>
          <w:tcPr>
            <w:tcW w:w="11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Shareholders' Equity</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common share data)</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2022</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($0.382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liability rewards</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($0.409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($0.438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p>
      <w:pPr>
        <w:pStyle w:val="TextBody"/>
        <w:bidi w:val="0"/>
        <w:spacing w:before="0" w:after="0"/>
        <w:jc w:val="center"/>
        <w:rPr/>
      </w:pPr>
      <w:r>
        <w:rPr/>
      </w:r>
    </w:p>
    <w:tbl>
      <w:tblPr>
        <w:tblW w:w="9549" w:type="dxa"/>
        <w:jc w:val="center"/>
        <w:tblInd w:w="0" w:type="dxa"/>
        <w:tblLayout w:type="fixed"/>
        <w:tblCellMar>
          <w:top w:w="28" w:type="dxa"/>
          <w:left w:w="28" w:type="dxa"/>
          <w:bottom w:w="28" w:type="dxa"/>
          <w:right w:w="28" w:type="dxa"/>
        </w:tblCellMar>
      </w:tblPr>
      <w:tblGrid>
        <w:gridCol w:w="2261"/>
        <w:gridCol w:w="1987"/>
        <w:gridCol w:w="2006"/>
        <w:gridCol w:w="196"/>
        <w:gridCol w:w="556"/>
        <w:gridCol w:w="109"/>
        <w:gridCol w:w="109"/>
        <w:gridCol w:w="109"/>
        <w:gridCol w:w="109"/>
        <w:gridCol w:w="196"/>
        <w:gridCol w:w="556"/>
        <w:gridCol w:w="109"/>
        <w:gridCol w:w="109"/>
        <w:gridCol w:w="109"/>
        <w:gridCol w:w="109"/>
        <w:gridCol w:w="199"/>
        <w:gridCol w:w="566"/>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unconsolidated affiliates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Gain on settlement of liability </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businesses acquired and dispositions: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maintenance expenditures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project expenditures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gaming rights, net of cash acquired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obligations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long-term debt obligations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dividends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pending equity transaction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bank overdraft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discontinued operations: </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cash flows of discontinued operations </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year</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bl>
      <w:tblPr>
        <w:tblW w:w="10205" w:type="dxa"/>
        <w:jc w:val="center"/>
        <w:tblInd w:w="0" w:type="dxa"/>
        <w:tblLayout w:type="fixed"/>
        <w:tblCellMar>
          <w:top w:w="28" w:type="dxa"/>
          <w:left w:w="28" w:type="dxa"/>
          <w:bottom w:w="28" w:type="dxa"/>
          <w:right w:w="28" w:type="dxa"/>
        </w:tblCellMar>
      </w:tblPr>
      <w:tblGrid>
        <w:gridCol w:w="2434"/>
        <w:gridCol w:w="2118"/>
        <w:gridCol w:w="2144"/>
        <w:gridCol w:w="211"/>
        <w:gridCol w:w="616"/>
        <w:gridCol w:w="109"/>
        <w:gridCol w:w="109"/>
        <w:gridCol w:w="109"/>
        <w:gridCol w:w="109"/>
        <w:gridCol w:w="211"/>
        <w:gridCol w:w="616"/>
        <w:gridCol w:w="109"/>
        <w:gridCol w:w="109"/>
        <w:gridCol w:w="109"/>
        <w:gridCol w:w="109"/>
        <w:gridCol w:w="211"/>
        <w:gridCol w:w="616"/>
        <w:gridCol w:w="156"/>
      </w:tblGrid>
      <w:tr>
        <w:trPr/>
        <w:tc>
          <w:tcPr>
            <w:tcW w:w="243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(net of refunds) by jurisdiction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Illinois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Virginia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Kentucky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Schedule of 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 on the acquisition of business included in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 included in accounts payable and accrued expense and other 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noncontrolling interest recognized in connection with asset acquisition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Churchill Downs Incorporated ("CDI" or the "Company") has been creating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We own and operate 17 live and historical racing entertainment venues with seven retail sportsbooks in three states, one of the largest online horse racing wagering platforms in the U.S., ten wholly owned casino gaming properties with nine retail sportsbooks in nine states. We were organized as a Kentucky corporation in 1928, and our principal executive offices are located in Louisville, Kentucky.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subsidiaries. All intercompany balances and transactions have been eliminated in consolidation.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consolidate all subsidiaries in which we have a controlling financial interest and variable interest entities ("VIEs") for which we or one of our consolidated subsidiaries is the primary beneficiary. We consolidate a VIE when we have both the power to direct the activities that most significantly impact the results of the VIE and the right to receive benefits or the obligation to absorb losses of the entity that could be potentially significant to the VIE. </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have been prepared in conformity with U.S. generally accepted accounting principles ("GAAP"), which requires management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The Greenfield Method is an income approach methodology that calculates the present value based on a projected cash flow stream. Qualitative factors include macroeconomic conditions, industry and market conditions, cost factors and overall financial performance, among others. These factors require judgments and estimates, and application of alternative assumptions could produce significantly different results. Evaluations of possible impairment require us to estimate, among other factors, forecasts of future operating results, revenue growth, operating expense, tax rates, start-up costs, capital expenditures, depreciation, working capital, discount rates, long-term growth rates, risk premiums, royalty rates, terminal values and fair market values of our reporting units and assets. The estimated future revenue and operating expenses, start-up costs, and discount rates are the primary assumptions and estimates in the valuation of gaming rights. Changes in estimates or the application of alternative assumptions could produce significantly different results.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our annual review for impairment of goodwill and indefinite-lived intangible assets on April 1 of each fiscal year, or more frequently if events or changes in circumstances indicate that it is more likely than not the relevant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 Goodwill is allocated and evaluated for impairment at the reporting unit level,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defined as an operating segment or one level below an operating segment, referred to as a component. We are required to aggregate the components of an operating segment into one reporting unit if they have similar economic characteristics.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gaming rights and trademarks are considered indefinite-lived intangible assets that do not require amortization based on our future expectations to operate our gaming facilities and use the trademarks indefinitely and our historical experience in renewing these intangible assets at minimal cost with various state gaming commissions. The indefinite lived-intangible assets carrying value are tested annually, or more frequently, if indicators of impairment exist, by comparing the fair value of the recorded assets to the associated carrying amount. If the carrying amount of the gaming rights and trademark intangible assets exceed fair value, an impairment loss is recognized.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definite-lived intangible assets, consisting primarily of customer relationships and technology assets, are amortized over periods from seven to 15 years. Amortization expense related to the definite-lived intangible assets is provided on a straight-line basis, as it approximates the economic benefit over the estimated useful lives of the assets. 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we would estimate the future cash flows expected to result from the use of the assets and their eventual disposition. If the sum of the expected future cash flows were less than the carrying amount of the assets, we would recognize an impairment charge to reduce such assets to their fair value.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review the carrying value of our property and equipment to be held and used in our operations whenever events or changes in circumstances indicate that the carrying value of an asset may not be recoverable from estimated future undiscounted cash flows expected to result from the asset's use and eventual disposition. Adverse industry or economic trends, lower projections of profitability, or a significant adverse change in legal factors or in the business climate, among other items, may be indications of potential impairment issues. If the undiscounted cash flows exceed the carrying value, no impairment is indicated. If the undiscounted cash flows do not exceed the carrying value, an impairment is recorded based on the fair value of the asset.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estimated useful lives of the related assets as follows: 10 to 40 years for grandstands and buildings, two to 10 years for equipment, two to 10 years for furniture and fixtures and 10 to 20 years for tracks and other improvements.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capital maintenance expenditures relate to the replacement of existing fixed assets with a useful life greater than one year that are obsolete, exhausted, or no longer cost effective to repair. Our capital project expenditures represent fixed asset additions related to land or building improvements to new or existing assets or purchases of new (non-replacement) equipment or software related to specific projects deemed necessary expenditures.</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generate revenue from pari-mutuel wagering transactions with customers related to live races, simulcast races, and historical races as well as simulcast host fees earned from other wagering sites. Our racetracks that host live races also generate revenue through sponsorships, admissions (including luxury suites), personal seat licenses ("PSLs"), television rights, concessions, programs and parking. Concessions, programs, and parking revenue is recognized once the good or service is delivered.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live racetracks' revenue and income are influenced by our racing calendar. Similarly, TwinSpires advance deposit wagering ("ADW") and United Tote revenue and income is influenced by racing calendars. Therefore, revenue and operating results for any interim quarter are not generally indicative of the revenue and operating results for the year and may not be comparable with results for the corresponding period of the previous year. We historically have had fewer live racing days during the first quarter of each year, and the majority of our live racing revenue occurs during the second quarter with the running of the Kentucky Oaks and Kentucky Derby.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live races we present at our racetracks, we recognize revenue on wagers we accept from customers at our racetrack ("on-track revenue") and revenue we earn from exporting our live racing signals to other racetracks, off-track betting facilities ("OTBs"), and ADW providers ("export revenue"). For simulcast races we display at our racetracks, OTBs, and TwinSpires' platforms, we recognize revenue we earn from providing a wagering service to our customers on these imported live races ("import revenue"). TwinSpires import revenue is generated through ADW which consists of patrons wagering through an advance deposit account. Each wagering contract for on-track revenue, and import revenue contains a single performance obligation and our export revenue contracts contain a series of distinct services that form a single performance obligation. The transaction price for on-track revenue and import revenue is fixed based on the established commission rate we are entitled to retain. The transaction price for export revenue is variable based on the simulcast host fee we charge our customers for exporting our signal. We may provide cash incentives in conjunction with wagering transactions we accept from TwinSpires'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These cash incentives represent consideration payable to a customer and therefore are treated as a reduction of the transaction price for the wagering transaction. Our export revenue contracts generally have a duration of one year or less. These arrangements are licenses of intellectual property containing a usage-based royalty. As a result, we have elected to use the practical expedient to omit disclosure related to remaining performance obligations for our export revenue contracts. We recognize on-track revenue, export revenue, and import revenue once the live race event is made official by the relevant racing regulatory body.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we earn from providing a wagering service to our customers on historical races at our historical racing machine ("HRM") facilities. The transaction price for HRM revenue is based on the established commission rate we are entitled to retain for each wager on the HRM. We recognize HRM revenue once the historical race has been completed on the HRM, net of the liability to the pool.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on-track revenue, export revenue, import revenue, and HRM revenue contracts in order to determine whether we are acting as the principal or as the agent when providing services, which we consider in determining if revenue should be reported gross or net. An entity is a principal if it controls the specified service before that service is transferred to a customer.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revenue we recognize for on-track revenue, import revenue, and HRM revenue is the commission we are entitled to retain for providing a wagering service to our customers. For these arrangements, we are the principal as we control the wagering service; therefore, any charges, including any applicable simulcast fees, we incur for delivering the wagering service are presented as operating expenses.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export revenue, our customer is the third-party wagering site such as a racetrack, OTB, or ADW provider. Therefore, the revenue we recognize for export revenue is the simulcast host fee we earn for exporting our racing signal to the third-party wagering site.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admission contracts are either for a single live racing event day or multiple days. Our PSLs, sponsorships, and television rights contracts generally relate to multiple live racing event days. Multiple day admission, PSLs, sponsorships, and television rights contracts contain a distinct series of services that form single performance obligations. Sponsorship contracts generally include performance obligations related to admissions and advertising rights at our racetracks. Television rights contracts contain a performance obligation related to the rights to distribute certain live racing events on media platforms. The transaction prices for our admissions, PSLs, sponsorships, and television rights contracts are fixed. We allocate the transaction price to our sponsorship contract performance obligations based on the estimated relative standalone selling price of each distinct service.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revenue we recognize for admissions to a live racing event day is recognized once the related event is complete. For admissions, PSLs, sponsorships, and television rights contracts that relate to multiple live racing event days, we recognize revenue over time using an output method of each completed live racing event day as our measure of progress. Each completed live racing event day corresponds with the transfer of the relevant service to a customer and therefore is considered a faithful depiction of our efforts to satisfy the promises in these contracts. This output method results in measuring the value transferred to date to the customer relative to the remaining services promised under the contracts. Certain premium live racing event days such as the Kentucky Derby and Oaks result in a higher value of revenue allocated relative to other live racing event days due to, among other things, the quality of thoroughbreds racing, higher levels of on-track attendance, national broadcast audience, local and national media coverage, and overall entertainment value of the event. While these performance obligations are satisfied over time, the timing of when this revenue is recognized is directly associated with the occurrence of our live racing events, which is when the majority of our revenues recognized at a point in time are also recognized.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Timing of revenue recognition may differ from the timing of invoicing to customers for our long-term contracts for racing event-related services. We generally invoice customers prior to delivery of services for our admissions, PSLs, sponsorships, and television rights contracts. We recognize a receivable and a contract liability at the time we have an unconditional right to receive payment. When cash is received in advance of delivering services under our contracts, we defer revenue and recognize it in accordance with our policies for that type of contract. In situations where the timing of revenue recognition differs from the timing of invoicing, we have determined our contracts do not include a significant financing component. The primary purpose of our invoicing terms is to allow our customers to secure the right to the specific services provided under our contracts, not to receive financing from our customers.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Gaming revenue primarily consists of gaming transactions. Other operating revenue, such as food and beverage or hotel revenue, is recognized once delivery of the product or service has occurred.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gaming transactions is the difference between gaming wins and losses. Gaming wager revenue is recognized when the wager settles.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HRM facilities and gaming properties offer loyalty programs that enable customers to earn loyalty points based on their play. HRM and gaming transactions involve two performance obligations for those customers earning loyalty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points under the Company’s loyalty programs and a single performance obligation for customers who do not participate in the program. Loyalty points are primarily redeemable for free wagering activities and food and beverage. For purposes of allocating the transaction price in an HRM and gaming transaction between the wagering performance obligation and the obligation associated with the loyalty points earned, the Company allocates an amount to the loyalty point contract liability based on the stand-alone selling price of the points earned, which is determined by the value of a loyalty point that can be redeemed for wagering activities or food and beverage. For gaming transactions, an amount of the transaction price allocated to the gaming performance obligation using the residual approach as the stand-alone price for wagers is highly variable and no set established price exists for such wagers. For HRM transactions, the amount of the transaction price allocated to the HRM performance obligation is the commission rate we are entitled to retain. The loyalty point contract liability amount is deferred and recognized as revenue when the customer redeems the points for a wagering transaction or food and beverage, and such goods or services are delivered to the customer.</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use estimates and judgments for financial reporting to determine our current tax liability and deferred taxes. In accordance with the liability method of accounting for income taxes, we recognize the amount of taxes payable or refundable for the current year and deferred tax assets and liabilities for the future tax consequences of events that have been recognized in the consolidated financial statements or tax returns.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Adjustments to deferred taxes are determined based upon the changes in differences between the book basis and tax basis of our assets and liabilities and measured using enacted tax rates we estimate will be applicable when these differences are expected to reverse. Changes in current tax laws, enacted tax rates or the estimated level of taxable income or non-deductible expense could change the valuation of deferred tax assets and liabilities and affect the overall effective tax rate and tax provision.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When tax returns are filed, it is highly certain that some positions taken will be sustained upon examination by the taxing authorities, while others are subject to uncertainty about the merits of the position taken or the amount of the position that will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the tax positions taken that exceeds the amount measured as described above is reflected as a liability for unrecognized tax benefits in the accompanying Consolidated Balance Sheets, along with any associated interest and penalties that would be payable to the taxing authorities upon examination.</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consider investments with original maturities of three months or less that are readily convertible to cash to be cash equivalents. We have, from time to time, cash in the bank in excess of federally insured limits. Under our cash management system, checks issued but not yet presented to banks that would result in negative bank balances when presented are classified as a current liability in the accompanying Consolidated Balance Sheets.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Restricted Cash and Account Wagering Deposit Liabilities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includes deposits collected from our TwinSpires' customers. Other amounts included in restricted cash represent amounts due to horsemen for purses, stakes and awards that are paid in accordance with the terms of our contractual agreements or statutory requirements.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insurance captive, which was established in April 2024, maintains cash reserves to cover insurable claims. Insurance captive cash reserves totaled $15.1 million and $8.3 million as of December 31, 2025 and December 31, 2024, respectively.</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allowance for doubtful accounts for current expected credit losses on our financial assets measured at amortized cost which are primarily included in accounts receivable, net in the accompanying Consolidated Balance Sheets. The Company evaluates current expected credit losses on a collective (pool) basis when similar risk characteristics exist. Write-offs are recognized when the Company concludes that all or a portion of a financial asset is no longer collectible. Any subsequent recovery is recognized when it occurs.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 xml:space="preserve">Internal Use Software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Internal use software costs for our Wagering Services and Solutions' segment software are capitalized in property and equipment, net in the accompanying Consolidated Balance Sheets, in accordance with accounting guidance governing computer software developed or obtained for internal use. Once the software is placed in operation, we amortize the capitalized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over the software's estimated economic useful life, which is generally three years. We capitalized internal use software of approximately $19.3 million in 2025, $18.4 million in 2024, and $13.2 million in 2023. We incurred amortization expense of approximately $12.8 million in 2025, $13.0 million in 2024, and $11.2 million in 2023, for projects which had been placed in service.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Fair Value of Assets and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adhere to a hierarchy for ranking the quality and reliability of the information used to determine fair values. Assets and liabilities that are carried at fair value are classified and disclosed in one of the following three categories: Level 1: Unadjusted quoted market prices in active markets for identical assets or liabilities; Level 2: Unadjusted quoted prices in active markets for similar assets or liabilities, unadjusted quoted prices for identical or similar assets or liabilities in markets that are not active, or inputs other than quoted prices that are observable for the asset or liability; and Level 3: Unobservable inputs for the asset or liability. We endeavor to utilize the best available information in measuring fair value. Financial assets and liabilities are classified based on the lowest level of input that is significant to the fair value measurement.</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Investments in and Advances to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investments in unconsolidated affiliates accounted for under the equity method. Under the equity method, carrying value is adjusted for our share of the investees' income and losses, amortization of certain basis differences as well as capital contributions to and distributions from these companies. We use the cumulative earnings approach to present distributions received from equity method investees. Distributions in excess of equity method income are recognized as a return of investment and recorded as investing cash inflows in the accompanying Consolidated Statements of Cash Flows. We classify income and losses as well as gains and impairments related to our investments in unconsolidated affiliates as a component of other income (expense) in the accompanying Consolidated Statements of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evaluate our investments in unconsolidated affiliates for impairment whenever events or changes in circumstances indicate that the carrying value of the investment may have experienced an "other-than-temporary" decline in value. If such conditions exist, we compare the estimated fair value of the investment to the investment's carrying value to determine if an impairment is indicated and determine whether the impairment is "other-than-temporary" based on an assessment of all relevant factors, including consideration of our intent and ability to retain our investment until the recovery of the unrealized loss. We estimate fair value using a discounted cash flow analysis based on estimated future results of the investee.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We account for acquisitions of businesses in accordance with ASC 805, </w:t>
      </w:r>
      <w:r>
        <w:rPr>
          <w:rFonts w:ascii="Times New Roman;serif" w:hAnsi="Times New Roman;serif"/>
          <w:b w:val="false"/>
          <w:color w:val="000000"/>
          <w:sz w:val="20"/>
        </w:rPr>
        <w:t>Business Combinations</w:t>
      </w:r>
      <w:r>
        <w:rPr>
          <w:rFonts w:ascii="Times New Roman;serif" w:hAnsi="Times New Roman;serif"/>
          <w:b w:val="false"/>
          <w:color w:val="000000"/>
          <w:sz w:val="20"/>
          <w:shd w:fill="FFFFFF" w:val="clear"/>
        </w:rPr>
        <w:t xml:space="preserve">. We initially allocate the purchase price of an acquisition to the assets acquired and liabilities assumed based on their estimated fair values, with any excess of consideration transferred recorded as goodwill. The results of operations of acquisitions are included in the consolidated financial statements from their respective dates of acquisition. Costs incurred to complete the </w:t>
      </w:r>
      <w:r>
        <w:rPr>
          <w:rFonts w:ascii="Times New Roman;serif" w:hAnsi="Times New Roman;serif"/>
          <w:b w:val="false"/>
          <w:color w:val="000000"/>
          <w:sz w:val="20"/>
        </w:rPr>
        <w:t>business combination</w:t>
      </w:r>
      <w:r>
        <w:rPr>
          <w:color w:val="000000"/>
          <w:shd w:fill="FFFFFF" w:val="clear"/>
        </w:rPr>
        <w:t xml:space="preserve"> </w:t>
      </w:r>
      <w:r>
        <w:rPr>
          <w:rFonts w:ascii="Times New Roman;serif" w:hAnsi="Times New Roman;serif"/>
          <w:b w:val="false"/>
          <w:color w:val="000000"/>
          <w:sz w:val="20"/>
          <w:shd w:fill="FFFFFF" w:val="clear"/>
        </w:rPr>
        <w:t>are not considered part of consideration and are expensed as incurred.</w:t>
      </w:r>
      <w:r>
        <w:rPr>
          <w:color w:val="000000"/>
        </w:rPr>
        <w:t xml:space="preserve"> </w:t>
      </w:r>
      <w:r>
        <w:rPr>
          <w:rFonts w:ascii="Times New Roman;serif" w:hAnsi="Times New Roman;serif"/>
          <w:b w:val="false"/>
          <w:color w:val="000000"/>
          <w:sz w:val="20"/>
        </w:rPr>
        <w:t>Refer to Note 3, Acquisitions, for further information.</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and categorize as either operating or finance based on the criteria of ASC 842. An arrangement contains a lease when the arrangement conveys the right to control the use of an identified asset over the lease term. Operating and finance leases are included in property and equipment, net; accrued expense and other current liabilities; and other liabilities in the accompanying Consolidated Balance Sheets. We generally do not separate lease and non-lease components for our lease contracts. We do not apply the right-of-use assets ("ROUA") and leases liability recognition requirements to short-term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 liabilities are recognized based on the present value of the future minimum lease payments over the lease term at the commencement date. These leases do not provide an implicit rate, so therefore we use our incremental borrowing rate based on the information available at the commencement date in determining the present value of future lease payments. ROUAs are recognized at the lease commencement date at the value of the lease liability, adjusted for any lease payments made prior to commencement and exclude lease incentives and initial direct costs incurred. The lease terms include all non-cancelable periods and may include options to extend or terminate the lease when it is reasonably certain that we will exercise that option. Lease expense for minimum lease payments is recognized on a straight-line basis over the lease term for operating leases. Interest expense on the finance lease liabilities is recorded separately using the interest method.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material leases where we are the lessor.</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Debt Issuance Costs and Loan Origination Fees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Debt issuance costs and loan origination fees associated with our term debt, Revolver (as defined in Note 11, Debt), and notes payable are amortized as interest expense over the term of each respective financial instrument. Debt issuance costs and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origination fees associated with our term debt and notes payable are presented as a direct deduction from the carrying amount of the related liability. Debt issuance costs and loan origination fees associated with our revolver are presented as an asset.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Casino and Pari-mutuel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casino and pari-mutuel tax expense based on the statutory requirements of the federal, state, and local jurisdictions in which we conduct business. All of our casino taxes and the majority of our pari-mutuel taxes are gross receipts taxes levied on the gaming entity. We recognize these taxes as Live and Historical Racing, Wagering Services and Solutions, Gaming, and All Other operating expenses in our Consolidated Statements of Comprehensive Income. In certain jurisdictions governing our pari-mutuel contracts with customers, there are specific pari-mutuel taxes that are assessed on winning wagers from our customers, which we collect and remit to the government. These taxes are presented on a net basis.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Purse Expense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purse expense based on the statutorily or contractually determined amount that is required to be paid out in the form of purses to the qualifying finishers of horse races run at our racetracks in the period in which wagering occurs. We incur a liability for all unpaid purses that will be paid out on a future live race event.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Self-insurance Accruals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self-insured up to certain limits for costs associated with general liability, workers’ compensation and certain employee health coverage costs, and we purchase insurance for claims that exceed our self-insurance retention or deductible levels. We record self-insurance reserves that include accruals of estimated settlements for known claims ("Case Reserves"), as well as accruals of third-party actuarial estimates for claims incurred but not yet reported ("IBNR"). Case Reserves represent estimated liabilities for unpaid losses, based on a claims administrator's estimates of future payments on individual reported claims, including allocated loss adjustment expense, which generally include claims settlement costs such as legal fees. IBNR includes the provision for unreported claims, changes in case reserves and future payments on reopened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Key variables and assumptions include, but are not limited to, loss development factors and trend factors such as changes in workers' compensation laws, medical care costs and wages. These loss development factors and trend factors are developed using our actual historical losses. It is possible that reasonable alternative selections would produce different reserve estimates.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Advertising and Marketing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expense the costs of general advertising, marketing and associated promotional expenditures at the time the costs are incurred. We incurred advertising and marketing expense of approximately $101.9 million in 2025, $90.7 million in 2024, and $83.4 million in 2023 in our accompanying Consolidated Statements of Comprehensive Income.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stock-based payments to employees and directors, including grants of performance share units ("PSU"), restricted stock, and restricted stock units are recognized as compensation expense over the service period based on the fair value on the date of grant. For awards that have a graded vesting schedule, we recognize expense on a straight-line basis for each separately vesting portion of the award. We recognize forfeitures of awards as incurred. </w:t>
      </w:r>
    </w:p>
    <w:p>
      <w:pPr>
        <w:pStyle w:val="TextBody"/>
        <w:bidi w:val="0"/>
        <w:spacing w:lineRule="auto" w:line="288" w:before="120" w:after="180"/>
        <w:jc w:val="both"/>
        <w:rPr/>
      </w:pPr>
      <w:r>
        <w:rPr>
          <w:rFonts w:ascii="Times New Roman;serif" w:hAnsi="Times New Roman;serif"/>
          <w:b w:val="false"/>
          <w:color w:val="000000"/>
          <w:sz w:val="20"/>
        </w:rPr>
        <w:t>The total compensation cost recognized for PSU awards is determined using the Monte Carlo valuation methodology, which factors in the achievement of the market criteria.</w:t>
      </w:r>
      <w:r>
        <w:rPr>
          <w:color w:val="000000"/>
        </w:rPr>
        <w:t xml:space="preserve"> </w:t>
      </w:r>
      <w:r>
        <w:rPr>
          <w:rFonts w:ascii="Times New Roman;serif" w:hAnsi="Times New Roman;serif"/>
          <w:b w:val="false"/>
          <w:color w:val="000000"/>
          <w:sz w:val="20"/>
        </w:rPr>
        <w:t xml:space="preserve">Compensation cost for PSUs is recognized during the three-year performance and service period based on the probable achievement of the performance criteria. Compensation cost for equity-classified awards is recorded based on the grant date fair value of the award over the vesting period. Compensation cost for liability-classified awards is determined on a quarterly basis. Changes in market value of the liability-classified awards are recorded as adjustments to stock-based compensation expense over the vesting period. </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Computation of Net Income per Common Share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is presented for both basic earnings per common share ("Basic EPS") and diluted earnings per common share ("Diluted EPS"). Basic EPS is based upon the weighted average number of common shares outstanding, excluding unvested stock awards, during the period plus vested common stock equivalents that have not yet been converted to common shares. Diluted EPS is based upon the weighted average number of shares used to calculate Basic EPS and potentially dilutive common shares outstanding during the period. Potentially dilutive common shares result from applying the treasury stock method to unvested stock awards.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Common Stock Share Repurchases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time-to-time, we repurchase shares of our common stock under share repurchase programs and privately negotiated transactions authorized by our Board of Directors. Share repurchases constitute authorized but unissued shares under the Kentucky laws under which we are incorporated. Our common stock has no par or stated value. We record the full value of share repurchases, upon the trade date, against common stock on our Consolidated Balance Sheets except when to do so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result in a negative balance in such common stock account. In such instances, we record the cost of any further share repurchases as a reduction to retained earnings. Due to the large number of shares of our common stock repurchased over the past several years, our common stock balance will frequently be zero at the end of any given reporting period. Refer to Note 9, Shareholders' Equity, for additional information on our share repurchases.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Insurance Recoveries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insurance policies that provide coverage for property damages and business interruption. Losses due to physical damages are recognized during the accounting period in which the loss occurs, while the amount of monetary assets to be received from the insurance policy is recognized when receipt of insurance recoveries is probable. Losses, which are reduced by the related probable insurance recoveries, are recorded as operating expenses on the accompanying Consolidated Statements of Comprehensive Income. Anticipated proceeds in excess of recognized losses would be considered a gain contingency and recognized when the contingency related to the insurance claim has been resolved.</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Recent Accounting Pronouncements - Adopted in 2025</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The amendments were effective for the Company for fiscal years beginning after December 15, 2024, and will be effective for the interim periods within fiscal years beginning after December 15, 2025. The adoption of this ASU, including retrospective application, did not have a material impact on our business. Refer to Note 8, Income Taxes and the Consolidated Statements of Cash Flows for the applicable disclosures required by this guidance. </w:t>
      </w:r>
    </w:p>
    <w:p>
      <w:pPr>
        <w:pStyle w:val="TextBody"/>
        <w:bidi w:val="0"/>
        <w:spacing w:lineRule="auto" w:line="288" w:before="120" w:after="60"/>
        <w:jc w:val="both"/>
        <w:rPr/>
      </w:pPr>
      <w:r>
        <w:rPr>
          <w:rFonts w:ascii="Times New Roman;serif" w:hAnsi="Times New Roman;serif"/>
          <w:b/>
          <w:i/>
          <w:color w:val="000000"/>
          <w:sz w:val="20"/>
        </w:rPr>
        <w:t xml:space="preserve">Recent Accounting Pronouncements - Effective in </w:t>
      </w:r>
      <w:r>
        <w:rPr>
          <w:rFonts w:ascii="Times New Roman;serif" w:hAnsi="Times New Roman;serif"/>
          <w:b/>
          <w:i/>
          <w:color w:val="000000"/>
          <w:sz w:val="20"/>
          <w:shd w:fill="FFFFFF" w:val="clear"/>
        </w:rPr>
        <w:t>2026</w:t>
      </w:r>
      <w:r>
        <w:rPr>
          <w:color w:val="000000"/>
        </w:rPr>
        <w:t xml:space="preserve"> </w:t>
      </w:r>
      <w:r>
        <w:rPr>
          <w:rFonts w:ascii="Times New Roman;serif" w:hAnsi="Times New Roman;serif"/>
          <w:b/>
          <w:i/>
          <w:color w:val="000000"/>
          <w:sz w:val="20"/>
        </w:rPr>
        <w:t>or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Measurement of Credit Losses for Accounts Receivable and Contract Assets (Topic 326).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updated standard is effective for fiscal years beginning after December 15, 2025, and interim periods beginning after December 15, 2026, with early adoption permitted.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The update removes all references to software development stages and requires capitalization of software costs when management has committed to the software project and it is probable the software will be completed and perform its intended use. This standard is effective for annual reporting periods beginning after December 15, 2027, and interim reporting periods within those annual reporting periods.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certain interim reporting guidance. The update is effective for fiscal years beginning after December 15, 2027, and interim periods within those fiscal years. The Company is currently assessing the impact of this standard on the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Casino Salem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2025, the Company completed its acquisition of 90% of the outstanding equity interests of Casino Salem (the "Salem Transaction") for a base purchase price of $180.0 million, and the transaction was treated as an asset acquisition because substantially all the value of the gross assets acquired was concentrated in the gaming rights. In conjunction with the acquisition, the Company recorded a $196.6 million indefinite-lived gaming rights intangible, which represented the fair value of the gaming rights at the date of acquisition.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gaming rights acquired in the transaction was determined using the Greenfield Method, which is an income approach methodology that calculates the present value of the gaming rights intangible asset based on a projected cash flow stream. This method assumes that the gaming rights intangible asset provides the opportunity to develop a gaming facility in a specified region, and that the present value of the projected cash 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future operating expenses, start-up costs, and discount rate were the primary inputs in the valuation. The gaming rights intangible asset was assigned an indefinite useful life based on the Company's expected use of the asset and determination that no legal, regulatory, contractual, competitive, economic, or other factors limit the useful life of the gaming rights.</w:t>
      </w:r>
    </w:p>
    <w:p>
      <w:pPr>
        <w:pStyle w:val="TextBody"/>
        <w:bidi w:val="0"/>
        <w:spacing w:lineRule="auto" w:line="276" w:before="120" w:after="60"/>
        <w:jc w:val="both"/>
        <w:rPr>
          <w:rFonts w:ascii="Times New Roman;serif" w:hAnsi="Times New Roman;serif"/>
          <w:b/>
          <w:i/>
          <w:color w:val="000000"/>
          <w:sz w:val="20"/>
        </w:rPr>
      </w:pPr>
      <w:r>
        <w:rPr>
          <w:rFonts w:ascii="Times New Roman;serif" w:hAnsi="Times New Roman;serif"/>
          <w:b/>
          <w:i/>
          <w:color w:val="000000"/>
          <w:sz w:val="20"/>
        </w:rPr>
        <w:t>Exacta Systems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August 22, 2023, the Company completed its acquisition of Exacta (the "Exacta Transaction") for purchase consideration of $248.2 million, net of cash acquired, consisting of a $241.3 million cash payment and $6.9 million of deferred payments, which were paid over two years. As of December 31, 2025, there were no deferred payments remaining. Exacta is a leading provider of central determinant system technology in HRMs across the country. The Exacta Transaction enables the Company to realize significant synergies related to the Company’s HRM operations. Exacta operates within the Company’s Wagering Services and Solutions segment and will continue to service its growing portfolio of third-party HRM operators in several states and is expanding its international presence.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assets acquired and liabilities assumed, net of cash acquired of $1.8 million, as of August 22, 2023:</w:t>
      </w:r>
    </w:p>
    <w:tbl>
      <w:tblPr>
        <w:tblW w:w="4805" w:type="dxa"/>
        <w:jc w:val="left"/>
        <w:tblInd w:w="0" w:type="dxa"/>
        <w:tblLayout w:type="fixed"/>
        <w:tblCellMar>
          <w:top w:w="28" w:type="dxa"/>
          <w:left w:w="28" w:type="dxa"/>
          <w:bottom w:w="28" w:type="dxa"/>
          <w:right w:w="28" w:type="dxa"/>
        </w:tblCellMar>
      </w:tblPr>
      <w:tblGrid>
        <w:gridCol w:w="1381"/>
        <w:gridCol w:w="1214"/>
        <w:gridCol w:w="1229"/>
        <w:gridCol w:w="211"/>
        <w:gridCol w:w="61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assumed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 (net of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intangible assets consists of the following:</w:t>
      </w:r>
    </w:p>
    <w:tbl>
      <w:tblPr>
        <w:tblW w:w="6324" w:type="dxa"/>
        <w:jc w:val="left"/>
        <w:tblInd w:w="0" w:type="dxa"/>
        <w:tblLayout w:type="fixed"/>
        <w:tblCellMar>
          <w:top w:w="28" w:type="dxa"/>
          <w:left w:w="28" w:type="dxa"/>
          <w:bottom w:w="28" w:type="dxa"/>
          <w:right w:w="28" w:type="dxa"/>
        </w:tblCellMar>
      </w:tblPr>
      <w:tblGrid>
        <w:gridCol w:w="720"/>
        <w:gridCol w:w="631"/>
        <w:gridCol w:w="643"/>
        <w:gridCol w:w="517"/>
        <w:gridCol w:w="1253"/>
        <w:gridCol w:w="269"/>
        <w:gridCol w:w="109"/>
        <w:gridCol w:w="109"/>
        <w:gridCol w:w="109"/>
        <w:gridCol w:w="574"/>
        <w:gridCol w:w="574"/>
        <w:gridCol w:w="816"/>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w:t>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7.0 years </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Goodwill of $177.4 million related to the Exacta Transaction was recognized, of which $96.0 million was allocated to the Live and Historical Racing segment and $81.4 million was allocated to the Wagering Services and Solutions segment. The goodwill related to the Exacta Transaction is deductible for tax purposes.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Valuation Techniques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these transactions any current assets and current liabilities were valued at the existing carrying values, as these items are short term in nature and represent management's estimated fair value of the respective items.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Property and equipment acquired primarily relates to land, buildings, equipment, and furniture and fixtures. The fair value of the land was determined using the market approach and the fair values of the remaining property and equipment were primarily determined using the cost replacement method which is based on replacement or reproduction costs of the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has not included other disclosures regarding the Salem and Exacta Transactions as these transactions are immaterial to our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Lady Luck Casino Nemacolin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June 26, 2023, the Company's management agreement for Lady Luck Casino Nemacolin ("Lady Luck") in Farmington, Pennsylvania expired and was not renewed. The Company completed the sale of substantially all its assets at Lady Luck for an immaterial amount.</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Arlington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15, 2023, we closed on the sale of the Arlington property in Arlington Heights, Illinois, to the Chicago Bears for $197.2 million. We received net proceeds of $195.7 million for the 326-acres and recognized a gain of $114.0 million on the sale, which is included in other (expense) income in the accompanying Consolidated Statements of Comprehensive Income. </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4. PROPERTY AND EQUIPMENT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is comprised of the following:</w:t>
      </w:r>
    </w:p>
    <w:tbl>
      <w:tblPr>
        <w:tblW w:w="5423" w:type="dxa"/>
        <w:jc w:val="left"/>
        <w:tblInd w:w="0" w:type="dxa"/>
        <w:tblLayout w:type="fixed"/>
        <w:tblCellMar>
          <w:top w:w="28" w:type="dxa"/>
          <w:left w:w="28" w:type="dxa"/>
          <w:bottom w:w="28" w:type="dxa"/>
          <w:right w:w="28" w:type="dxa"/>
        </w:tblCellMar>
      </w:tblPr>
      <w:tblGrid>
        <w:gridCol w:w="1041"/>
        <w:gridCol w:w="912"/>
        <w:gridCol w:w="926"/>
        <w:gridCol w:w="211"/>
        <w:gridCol w:w="766"/>
        <w:gridCol w:w="109"/>
        <w:gridCol w:w="109"/>
        <w:gridCol w:w="109"/>
        <w:gridCol w:w="109"/>
        <w:gridCol w:w="211"/>
        <w:gridCol w:w="76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Grandstands and buildings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Tracks and other improvements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Depreciation expense was $222.8 million in 2025, $188.0 million in 2024 and $161.8 million in 2023 and is classified in operating expense in the accompanying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Goodwill, by segment, is comprised of the following:</w:t>
      </w:r>
    </w:p>
    <w:tbl>
      <w:tblPr>
        <w:tblW w:w="10205" w:type="dxa"/>
        <w:jc w:val="left"/>
        <w:tblInd w:w="0" w:type="dxa"/>
        <w:tblLayout w:type="fixed"/>
        <w:tblCellMar>
          <w:top w:w="28" w:type="dxa"/>
          <w:left w:w="28" w:type="dxa"/>
          <w:bottom w:w="28" w:type="dxa"/>
          <w:right w:w="28" w:type="dxa"/>
        </w:tblCellMar>
      </w:tblPr>
      <w:tblGrid>
        <w:gridCol w:w="830"/>
        <w:gridCol w:w="654"/>
        <w:gridCol w:w="646"/>
        <w:gridCol w:w="351"/>
        <w:gridCol w:w="1028"/>
        <w:gridCol w:w="183"/>
        <w:gridCol w:w="109"/>
        <w:gridCol w:w="109"/>
        <w:gridCol w:w="109"/>
        <w:gridCol w:w="545"/>
        <w:gridCol w:w="1597"/>
        <w:gridCol w:w="285"/>
        <w:gridCol w:w="109"/>
        <w:gridCol w:w="109"/>
        <w:gridCol w:w="109"/>
        <w:gridCol w:w="211"/>
        <w:gridCol w:w="616"/>
        <w:gridCol w:w="109"/>
        <w:gridCol w:w="109"/>
        <w:gridCol w:w="109"/>
        <w:gridCol w:w="109"/>
        <w:gridCol w:w="248"/>
        <w:gridCol w:w="479"/>
        <w:gridCol w:w="128"/>
        <w:gridCol w:w="109"/>
        <w:gridCol w:w="109"/>
        <w:gridCol w:w="109"/>
        <w:gridCol w:w="211"/>
        <w:gridCol w:w="616"/>
        <w:gridCol w:w="160"/>
      </w:tblGrid>
      <w:tr>
        <w:trPr/>
        <w:tc>
          <w:tcPr>
            <w:tcW w:w="8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3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In 2023, we established goodwill related to the Exacta Transaction. The final amount of goodwill was $177.4 million. The goodwill was assigned to the Live and Historical Racing segment in the amount of $96.0 million and to the Wagering Services and Solutions segment in the amount of $81.4 million.</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annual goodwill impairment analysis as of April 1, 2025. We assessed goodwill for impairment by performing qualitative or quantitative analyses for each reporting unit. Based on the results of these analyses, no goodwill impairments were identified in connection with our annual impairment testing.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6. OTHER INTANGIBLE ASSETS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is comprised of the following:</w:t>
      </w:r>
    </w:p>
    <w:tbl>
      <w:tblPr>
        <w:tblW w:w="10205" w:type="dxa"/>
        <w:jc w:val="left"/>
        <w:tblInd w:w="0" w:type="dxa"/>
        <w:tblLayout w:type="fixed"/>
        <w:tblCellMar>
          <w:top w:w="28" w:type="dxa"/>
          <w:left w:w="28" w:type="dxa"/>
          <w:bottom w:w="28" w:type="dxa"/>
          <w:right w:w="28" w:type="dxa"/>
        </w:tblCellMar>
      </w:tblPr>
      <w:tblGrid>
        <w:gridCol w:w="932"/>
        <w:gridCol w:w="792"/>
        <w:gridCol w:w="804"/>
        <w:gridCol w:w="211"/>
        <w:gridCol w:w="511"/>
        <w:gridCol w:w="109"/>
        <w:gridCol w:w="109"/>
        <w:gridCol w:w="109"/>
        <w:gridCol w:w="109"/>
        <w:gridCol w:w="269"/>
        <w:gridCol w:w="672"/>
        <w:gridCol w:w="140"/>
        <w:gridCol w:w="109"/>
        <w:gridCol w:w="109"/>
        <w:gridCol w:w="109"/>
        <w:gridCol w:w="211"/>
        <w:gridCol w:w="766"/>
        <w:gridCol w:w="109"/>
        <w:gridCol w:w="109"/>
        <w:gridCol w:w="109"/>
        <w:gridCol w:w="109"/>
        <w:gridCol w:w="211"/>
        <w:gridCol w:w="511"/>
        <w:gridCol w:w="109"/>
        <w:gridCol w:w="109"/>
        <w:gridCol w:w="109"/>
        <w:gridCol w:w="109"/>
        <w:gridCol w:w="269"/>
        <w:gridCol w:w="672"/>
        <w:gridCol w:w="140"/>
        <w:gridCol w:w="109"/>
        <w:gridCol w:w="109"/>
        <w:gridCol w:w="109"/>
        <w:gridCol w:w="211"/>
        <w:gridCol w:w="766"/>
        <w:gridCol w:w="155"/>
      </w:tblGrid>
      <w:tr>
        <w:trPr/>
        <w:tc>
          <w:tcPr>
            <w:tcW w:w="93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asset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rights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Indefinite-lived intangible assets consist primarily of trademarks and state gaming rights in Indiana, Iowa, Kentucky, Louisiana, Maine, Maryland, Mississippi, New Hampshire, New York, and Virginia.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gaming rights was determined using the Greenfield Method, which is an income approach methodology that calculates the present value of the overall business enterprise based on a projected cash flow stream. This method assumes that the gaming rights intangible assets provide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The gaming rights intangible assets were assigned an indefinite useful life based on the Company's expected use of the assets and determination that no legal, regulatory, contractual, competitive, economic, or other factors limit the useful life of the gaming rights.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Trademark intangible assets were valued using the relief-from-royalty method of the income approach, which estimates the fair value of the intangible assets by discounting the fair value of the hypothetical royalty payments a market participant would be willing to pay to enjoy the benefits of the assets. The estimated future revenue, royalty rates, and discount rates were the primary assumptions and estimates in the valuation of the trademarks.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definite-lived intangible assets was $10.3 million in 2025, $11.1 million in 2024, and $7.2 million in 2023, and is classified in operating expense in the accompanying Consolidated Statements of Comprehensive Income.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Refer to Note 7, Asset Impairments, for information regarding intangible asset impairments recognized during 2025 and 2023.</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annual indefinite-lived intangible assets impairment analysis as of April 1, 2025, which included an assessment of qualitative and quantitative factors to determine whether it is more likely than not that the fair values of the indefinite-lived intangible assets are less than the carrying amount. We concluded that the fair values of our indefinite-lived intangible assets exceeded their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Future estimated aggregate amortization expense on existing definite-lived intangible assets for each of the next five fiscal years is as follows (in millions):</w:t>
      </w:r>
    </w:p>
    <w:tbl>
      <w:tblPr>
        <w:tblW w:w="5666" w:type="dxa"/>
        <w:jc w:val="center"/>
        <w:tblInd w:w="0" w:type="dxa"/>
        <w:tblLayout w:type="fixed"/>
        <w:tblCellMar>
          <w:top w:w="28" w:type="dxa"/>
          <w:left w:w="28" w:type="dxa"/>
          <w:bottom w:w="28" w:type="dxa"/>
          <w:right w:w="28" w:type="dxa"/>
        </w:tblCellMar>
      </w:tblPr>
      <w:tblGrid>
        <w:gridCol w:w="869"/>
        <w:gridCol w:w="764"/>
        <w:gridCol w:w="766"/>
        <w:gridCol w:w="109"/>
        <w:gridCol w:w="109"/>
        <w:gridCol w:w="109"/>
        <w:gridCol w:w="804"/>
        <w:gridCol w:w="1546"/>
        <w:gridCol w:w="59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Amortization Expense</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7. ASSET IMPAIRMENTS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Chasers Poker Room Impairment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concluded that the completion of the Salem Transaction qualified as a trigger event for impairment testing related to the Chasers Poker Room ("Chasers"). At the time the Company acquired Chasers, the valuation of the gaming rights contemplated a future expansion of the existing operations in Salem, New Hampshire. Given the completion of the Salem Transaction, the Company now intends to open Rockingham Grand Casino and does not plan to expand Chasers.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Company does not currently intend to expand Chasers, the Company settled an outstanding liability owed to the former owners of Chasers, related to the Chasers' gaming rights, in the amount of $10.0 million. The settlement of the noncurrent liability resulted in a gain of $40.0 million in the third quarter of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completion of the Salem Transaction and the settlement of the liability related to the Chasers' gaming rights, the Company evaluated and subsequently updated the projected cash flows and discount rate related to the Chasers' gaming rights. The fair value of the Chasers' gaming rights intangible was determined using the Greenfield Method, an income approach methodology that calculates the present value based on a projected cash flow stream. This method assumes that the gaming rights intangible assets provide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intangible. As a result of this assessment, the Company recognized a non-cash impairment charge of $85.1 million in the third quarter of 2025 for the entire value of the Chasers' gaming rights, which are included in the Live and Historical Racing segment.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$40.0 million gain on settlement of the noncurrent liability and the $85.1 million impairment charge of the gaming rights intangible are included in Asset impairments, net in the Consolidated Statements of Comprehensive Income.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Presque Isle Impairments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2022, the Company concluded that a trigger event for impairment testing occurred related to the Presque Isle Downs and Casino ("Presque Isle") gaming rights, trademark, and the reporting unit's goodwill due to the impact and uncertainty of negative economic trends ("2022 Trigger Event"). Factors considered in this evaluation included, among other things, the amount of the fair value over carrying value from the annual impairment testing performed as of April 1, 2022, changes in carrying values, changes in discount rates, and the impact of negative economic trends on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2022 Trigger Event, the Company updated the discount rate to reflect the increased uncertainty of the cash flows and updated the projected cash flow stream. As a result, the Company recognized a $33.4 million non-cash impairment charge in the fourth quarter of 2022 for the Presque Isle gaming rights and trademark, which are included in the Gaming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annual goodwill and indefinite-lived intangible assets impairment analysis for Presque Isle as of April 1, 2023. Based on the results of this analysis, no impairments for Presque Isle were identified. Subsequent to the annual test, we continued to evaluate economic conditions, including competition in the market and inflationary pressures, which increased during the second quarter of 2023, and impacted the performance and outlook of Presque Isle. As a result, the Company concluded that a trigger event for impairment testing occurred related to the Presque Isle gaming rights, trademark, and the reporting unit's goodwill at the end of the second quarter ("2023 Trigger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Based on the 2023 Trigger Event, the Company evaluated and subsequently updated the projected cash flows and discount rate to reflect the economic environment at that time. As a result, the Company recognized a $24.5 million non-cash impairment charge in the second quarter of 2023 for the Presque Isle gaming rights and trademark.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Presque Isle gaming rights was determined using the Greenfield Method, an income approach methodology that calculates the present value based on a projected cash flow stream. The fair value of the trademark was determined by using the relief-from-royalty method of the income approach.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Presque Isle reporting unit's goodwill was determined under the market and income valuation approaches using inputs primarily related to discounted projected cash flows and price multiples of publicly traded comparable companies.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ASC 350, Intangibles - Goodwill and Other, the Company performed the impairment testing of the Presque Isle gaming rights and trademark prior to testing Presque Isle goodwill. Based on the trigger events described above, the Company updated the discount rate to reflect the increased uncertainty of the cash flows and updated the project cash flow stream. As a result, the Company did not recognize any impairment for Presque Isle goodwill because the fair value exceeded the carrying value.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the competitive environment and the impacts on the results of Presque Isle's operations. Future economic conditions and increased competition could have a negative impact on the estimates and assumptions utilized in our asset impairment assessments. These potential impacts could increase the risk of a future impairment of assets at Presque Isle.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Other Impairments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$2.4 million and $3.9 million write-off of HRMs in Virginia that are no longer in use in the second quarter of 2025 and the third quarter of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Components of the provision for income taxes are as follows:</w:t>
      </w:r>
    </w:p>
    <w:tbl>
      <w:tblPr>
        <w:tblW w:w="5352" w:type="dxa"/>
        <w:jc w:val="left"/>
        <w:tblInd w:w="0" w:type="dxa"/>
        <w:tblLayout w:type="fixed"/>
        <w:tblCellMar>
          <w:top w:w="28" w:type="dxa"/>
          <w:left w:w="28" w:type="dxa"/>
          <w:bottom w:w="28" w:type="dxa"/>
          <w:right w:w="28" w:type="dxa"/>
        </w:tblCellMar>
      </w:tblPr>
      <w:tblGrid>
        <w:gridCol w:w="666"/>
        <w:gridCol w:w="587"/>
        <w:gridCol w:w="592"/>
        <w:gridCol w:w="211"/>
        <w:gridCol w:w="616"/>
        <w:gridCol w:w="109"/>
        <w:gridCol w:w="109"/>
        <w:gridCol w:w="109"/>
        <w:gridCol w:w="109"/>
        <w:gridCol w:w="211"/>
        <w:gridCol w:w="616"/>
        <w:gridCol w:w="109"/>
        <w:gridCol w:w="109"/>
        <w:gridCol w:w="109"/>
        <w:gridCol w:w="109"/>
        <w:gridCol w:w="211"/>
        <w:gridCol w:w="61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provision: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Income from operations before provision for income taxes for the year ended December 31, 2025, 2024 and 2023 was $532.4 million, $573.2 million and $561.8 million, respectively, and were all domestic in each period.</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Our income tax provision is different from the amount computed by applying the federal statutory income tax rate to income from operations before taxes as follows:</w:t>
      </w:r>
    </w:p>
    <w:tbl>
      <w:tblPr>
        <w:tblW w:w="10205" w:type="dxa"/>
        <w:jc w:val="left"/>
        <w:tblInd w:w="0" w:type="dxa"/>
        <w:tblLayout w:type="fixed"/>
        <w:tblCellMar>
          <w:top w:w="28" w:type="dxa"/>
          <w:left w:w="28" w:type="dxa"/>
          <w:bottom w:w="28" w:type="dxa"/>
          <w:right w:w="28" w:type="dxa"/>
        </w:tblCellMar>
      </w:tblPr>
      <w:tblGrid>
        <w:gridCol w:w="1331"/>
        <w:gridCol w:w="1013"/>
        <w:gridCol w:w="1026"/>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7"/>
      </w:tblGrid>
      <w:tr>
        <w:trPr/>
        <w:tc>
          <w:tcPr>
            <w:tcW w:w="133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provision for income taxes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tax on earnings before 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income tax benefit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 border tax laws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 - U.S. federal</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 - fed, state &amp; 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greater than 50% of the Company’s effective tax rate related to the state income tax category was generated from tax expense in Kentucky, New Hampshire, Virginia, and Illinois. During 2024, greater than 50% of the Company’s effective tax rate related to the state income tax category was generated from tax expense in Kentucky and Virginia, and in 2023 from tax expense in Illinois, Virginia and Kentucky. </w:t>
      </w: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Components of our deferred tax assets and liabilities were as follows:</w:t>
      </w:r>
    </w:p>
    <w:tbl>
      <w:tblPr>
        <w:tblW w:w="6428" w:type="dxa"/>
        <w:jc w:val="left"/>
        <w:tblInd w:w="0" w:type="dxa"/>
        <w:tblLayout w:type="fixed"/>
        <w:tblCellMar>
          <w:top w:w="28" w:type="dxa"/>
          <w:left w:w="28" w:type="dxa"/>
          <w:bottom w:w="28" w:type="dxa"/>
          <w:right w:w="28" w:type="dxa"/>
        </w:tblCellMar>
      </w:tblPr>
      <w:tblGrid>
        <w:gridCol w:w="1458"/>
        <w:gridCol w:w="1282"/>
        <w:gridCol w:w="1294"/>
        <w:gridCol w:w="211"/>
        <w:gridCol w:w="691"/>
        <w:gridCol w:w="109"/>
        <w:gridCol w:w="109"/>
        <w:gridCol w:w="109"/>
        <w:gridCol w:w="109"/>
        <w:gridCol w:w="211"/>
        <w:gridCol w:w="691"/>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163(j) interest expense limitation carryforward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and credits carryforward</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H.R. 1, a new federal tax and spending bill. Many of the tax provisions included in the bill are retroactive and are expected to have a significant favorable impact on the Company's current tax expense, primarily due to the permanent reinstatements of 100% bonus depreciation rules and a 30% of EBITDA-based interest expense deduction limitation. The expected reduction in cash paid taxes as a result of these new tax provisions will increase cash flow from operating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2025, the Company began utilizing the deferred tax asset related to its § 163(j) interest expense limitation carryforward for federal and certain states. We have recorded a valuation allowance of $14.0 million against net deferred tax assets primarily related to the interest carryforward that we do not expect to utilize for state purposes.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U.S. state and foreign net operating losses with tax values of $7.5 million and $0.5 million, respectively. We have recorded a valuation allowance of $4.2 million due to the fact that it is unlikely that we will generate income in certain state and foreign jurisdictions which is necessary to utilize the deferred tax assets. We also had U.S. state tax credits and deductions with a tax value of $2.0 million that do not expire which we expect to fully utilize.</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w:t>
      </w:r>
    </w:p>
    <w:tbl>
      <w:tblPr>
        <w:tblW w:w="7286" w:type="dxa"/>
        <w:jc w:val="left"/>
        <w:tblInd w:w="0" w:type="dxa"/>
        <w:tblLayout w:type="fixed"/>
        <w:tblCellMar>
          <w:top w:w="28" w:type="dxa"/>
          <w:left w:w="28" w:type="dxa"/>
          <w:bottom w:w="28" w:type="dxa"/>
          <w:right w:w="28" w:type="dxa"/>
        </w:tblCellMar>
      </w:tblPr>
      <w:tblGrid>
        <w:gridCol w:w="1594"/>
        <w:gridCol w:w="1400"/>
        <w:gridCol w:w="1415"/>
        <w:gridCol w:w="211"/>
        <w:gridCol w:w="406"/>
        <w:gridCol w:w="109"/>
        <w:gridCol w:w="109"/>
        <w:gridCol w:w="109"/>
        <w:gridCol w:w="109"/>
        <w:gridCol w:w="211"/>
        <w:gridCol w:w="406"/>
        <w:gridCol w:w="109"/>
        <w:gridCol w:w="109"/>
        <w:gridCol w:w="109"/>
        <w:gridCol w:w="109"/>
        <w:gridCol w:w="211"/>
        <w:gridCol w:w="40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Service's most recent audit was completed for tax year 2012. Tax years 2022 and after are open to examination. As of December 31, 2025, we had approximately $2.4 million of total gross unrecognized tax benefits, excluding interest of $0.4 million. If the total gross unrecognized tax benefits were recognized, there would be a $2.2 million effect to the annual effective tax rate. We anticipate a decrease in our unrecognized tax positions of approximately $0.4 million during the next twelve months primarily due to expected settlements with tax authorities and the expiration of statutes of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9. SHAREHOLDERS' EQUITY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$429.5 million of repurchase authority remaining under the July 2025 Stock Repurchase Program at December 31, 2025,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new common stock repurchase program of up to $500.0 million (the "March 2025 Stock Repurchase Program"). The March 2025 Stock Repurchase Program included and was not in addition to the $125.6 million remaining under the 2021 Stock Repurchase Program. As described above, the March 2025 Stock Repurchase Program has since been replaced by the July 2025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2021, the Board of Directors of the Company approved a common stock repurchase program of up to $500.0 million ("2021 Stock Repurchase Program"). As described above, the 2021 Stock Repurchase Program was replaced by the March 2025 Stock Repurchase Program.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repurchased the following shares under our Stock Repurchase Programs: </w:t>
      </w:r>
    </w:p>
    <w:tbl>
      <w:tblPr>
        <w:tblW w:w="10205" w:type="dxa"/>
        <w:jc w:val="left"/>
        <w:tblInd w:w="0" w:type="dxa"/>
        <w:tblLayout w:type="fixed"/>
        <w:tblCellMar>
          <w:top w:w="28" w:type="dxa"/>
          <w:left w:w="28" w:type="dxa"/>
          <w:bottom w:w="28" w:type="dxa"/>
          <w:right w:w="28" w:type="dxa"/>
        </w:tblCellMar>
      </w:tblPr>
      <w:tblGrid>
        <w:gridCol w:w="817"/>
        <w:gridCol w:w="467"/>
        <w:gridCol w:w="469"/>
        <w:gridCol w:w="109"/>
        <w:gridCol w:w="109"/>
        <w:gridCol w:w="109"/>
        <w:gridCol w:w="488"/>
        <w:gridCol w:w="488"/>
        <w:gridCol w:w="226"/>
        <w:gridCol w:w="309"/>
        <w:gridCol w:w="903"/>
        <w:gridCol w:w="160"/>
        <w:gridCol w:w="109"/>
        <w:gridCol w:w="109"/>
        <w:gridCol w:w="109"/>
        <w:gridCol w:w="413"/>
        <w:gridCol w:w="413"/>
        <w:gridCol w:w="226"/>
        <w:gridCol w:w="347"/>
        <w:gridCol w:w="843"/>
        <w:gridCol w:w="181"/>
        <w:gridCol w:w="109"/>
        <w:gridCol w:w="109"/>
        <w:gridCol w:w="109"/>
        <w:gridCol w:w="413"/>
        <w:gridCol w:w="413"/>
        <w:gridCol w:w="226"/>
        <w:gridCol w:w="340"/>
        <w:gridCol w:w="826"/>
        <w:gridCol w:w="256"/>
      </w:tblGrid>
      <w:tr>
        <w:trPr/>
        <w:tc>
          <w:tcPr>
            <w:tcW w:w="8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3,294,447 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4,190,380 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506,300 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461,761 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we had $0.5 million and $3.0 million, respectively, accrued for the future cash settlement of executed repurchases of our common stock.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The Duchossois Group ("TDG") Share Repurchase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2023, the Company entered into an agreement (the "2023 Stock Repurchase Agreement") with an affiliate of TDG to repurchase 1,000,000 shares of the Company’s common stock, for $123.75 per share in a privately negotiated transaction, for an aggregate purchase price of $123.8 million. The repurchase of the shares of Company's common stock pursuant to the 2023 Stock Repurchase Agreement closed on January 2, 2024, and contained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10. STOCK-BASED COMPENSATION PLANS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total stock based compensation expense, which includes expense related to restricted stock awards, restricted stock unit awards, performance share unit awards, and stock options associated with our employee stock purchase plan, was $30.2 million in 2025, $36.1 million in 2024, and $32.9 million in 2023. We recorded a tax benefit related to stock-based compensation expense of $3.2 million in 2025, $2.8 million in 2024, and $2.3 million in 2023. Our stock-based employee compensation plans are described below.</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2025 Omnibus Stock Incentive Plan</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2025, our Board of Directors approved the replacement of the Churchill Downs Incorporated 2016 Omnibus Stock Incentive Plan (the "2016 Plan") with a new plan, the Churchill Downs Incorporated 2025 Omnibus Stock and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the 2025 Plan, and the Executive Long-Term Incentive Compensation Plan, which was adopted pursuant to the 2016 Plan. The Plans are intended to advance our long-term success by encouraging stock ownership among key employees and the Board of Directors. Awards may be in the form of stock options, stock appreciation rights, restricted stock awards ("RSA"), restricted stock units ("RSU"), other share-based awards, performance share units ("PSU"), performance units, or performance cash. </w:t>
      </w: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 xml:space="preserve">Restricted Stock, Restricted Stock Units, and Performance Share Units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2025 Plan permits the award of RSAs, RSUs, or PSUs to directors and key employees responsible for the management, growth and protection of our business.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to employees under the 2025 and 2016 Plans generally vest either in full upon three years from the date of grant or on a pro rata basis over a three-year term. RSUs granted to employees are converted into shares of our common stock at vesting or may be settled in cash upon vesting. The RSAs and RSUs granted to directors under the 2025 and 2016 Plans generally vest in full upon one year from the date of grant. RSAs are legally issued common stock at the time of grant, with certain restrictions placed on them. RSUs granted to directors are converted into shares of our common stock at the time of the director's retirement. The fair value of RSAs and RSUs that vest solely based on continued service under the Plan is determined by the product of the number of shares granted and the grant date market price of our common stock.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PSUs granted to key executives have performance periods ranging from two to three years and vest depending on the Company’s achievement of predetermined targets related to both performance and market criteria. All PSUs awards are converted into shares of our common stock or settled in cash at the time the award value is finalized.</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modified certain PSU awards to allow for settlement in the form of either cash or stock. The modification required the awards to be recorded as liability-classified awards. Compensation expense related to modified stock-based awards is based on the fair value for those awards as of the modification date with any remaining incremental stock-based compensation expense recognized ratably over the remaining requisite service period. As a result of the modification, the Company recorded stock-based compensation expense of $4.1 million during the year ended December 31, 2024.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Company had $21.0 million and $25.0 million, respectively, recorded as liability-classified awards, which is included in accrued expense and other liabilities in the accompanying Consolidated Balance Sheets.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2025 RSA's, RSU's, and PSUs granted to certain executives, employees, and the Board of Directors is presented below (shares/units in thousands):</w:t>
      </w:r>
    </w:p>
    <w:tbl>
      <w:tblPr>
        <w:tblW w:w="10205" w:type="dxa"/>
        <w:jc w:val="left"/>
        <w:tblInd w:w="0" w:type="dxa"/>
        <w:tblLayout w:type="fixed"/>
        <w:tblCellMar>
          <w:top w:w="28" w:type="dxa"/>
          <w:left w:w="28" w:type="dxa"/>
          <w:bottom w:w="28" w:type="dxa"/>
          <w:right w:w="28" w:type="dxa"/>
        </w:tblCellMar>
      </w:tblPr>
      <w:tblGrid>
        <w:gridCol w:w="385"/>
        <w:gridCol w:w="340"/>
        <w:gridCol w:w="341"/>
        <w:gridCol w:w="109"/>
        <w:gridCol w:w="109"/>
        <w:gridCol w:w="109"/>
        <w:gridCol w:w="374"/>
        <w:gridCol w:w="374"/>
        <w:gridCol w:w="376"/>
        <w:gridCol w:w="109"/>
        <w:gridCol w:w="109"/>
        <w:gridCol w:w="109"/>
        <w:gridCol w:w="788"/>
        <w:gridCol w:w="788"/>
        <w:gridCol w:w="790"/>
        <w:gridCol w:w="109"/>
        <w:gridCol w:w="109"/>
        <w:gridCol w:w="109"/>
        <w:gridCol w:w="1366"/>
        <w:gridCol w:w="1366"/>
        <w:gridCol w:w="1936"/>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Units Awarded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Terms</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8"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Three-year performance and service period ending in 2027</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 equally over three service periods ending in 2028</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year service period ending in 2026</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year service period ending in 2026</w:t>
            </w:r>
          </w:p>
        </w:tc>
      </w:tr>
    </w:tbl>
    <w:p>
      <w:pPr>
        <w:pStyle w:val="TextBody"/>
        <w:bidi w:val="0"/>
        <w:spacing w:lineRule="auto" w:line="288" w:before="60" w:after="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PSUs presented are based on the target number of units for the original PSU grant. </w:t>
      </w:r>
    </w:p>
    <w:p>
      <w:pPr>
        <w:pStyle w:val="TextBody"/>
        <w:bidi w:val="0"/>
        <w:spacing w:before="6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Activity for our RSAs, RSUs, and PSUs is presented below (shares/units in thousands):</w:t>
      </w:r>
    </w:p>
    <w:tbl>
      <w:tblPr>
        <w:tblW w:w="10205" w:type="dxa"/>
        <w:jc w:val="left"/>
        <w:tblInd w:w="0" w:type="dxa"/>
        <w:tblLayout w:type="fixed"/>
        <w:tblCellMar>
          <w:top w:w="28" w:type="dxa"/>
          <w:left w:w="28" w:type="dxa"/>
          <w:bottom w:w="28" w:type="dxa"/>
          <w:right w:w="28" w:type="dxa"/>
        </w:tblCellMar>
      </w:tblPr>
      <w:tblGrid>
        <w:gridCol w:w="847"/>
        <w:gridCol w:w="651"/>
        <w:gridCol w:w="655"/>
        <w:gridCol w:w="354"/>
        <w:gridCol w:w="354"/>
        <w:gridCol w:w="356"/>
        <w:gridCol w:w="109"/>
        <w:gridCol w:w="109"/>
        <w:gridCol w:w="109"/>
        <w:gridCol w:w="212"/>
        <w:gridCol w:w="724"/>
        <w:gridCol w:w="109"/>
        <w:gridCol w:w="109"/>
        <w:gridCol w:w="109"/>
        <w:gridCol w:w="109"/>
        <w:gridCol w:w="354"/>
        <w:gridCol w:w="354"/>
        <w:gridCol w:w="356"/>
        <w:gridCol w:w="109"/>
        <w:gridCol w:w="109"/>
        <w:gridCol w:w="109"/>
        <w:gridCol w:w="212"/>
        <w:gridCol w:w="724"/>
        <w:gridCol w:w="109"/>
        <w:gridCol w:w="109"/>
        <w:gridCol w:w="109"/>
        <w:gridCol w:w="109"/>
        <w:gridCol w:w="390"/>
        <w:gridCol w:w="354"/>
        <w:gridCol w:w="356"/>
        <w:gridCol w:w="109"/>
        <w:gridCol w:w="109"/>
        <w:gridCol w:w="109"/>
        <w:gridCol w:w="211"/>
        <w:gridCol w:w="724"/>
        <w:gridCol w:w="164"/>
      </w:tblGrid>
      <w:tr>
        <w:trPr/>
        <w:tc>
          <w:tcPr>
            <w:tcW w:w="8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RSAs 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grant date values)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 /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 /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 /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2022</w:t>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rFonts w:ascii="Times New Roman;serif" w:hAnsi="Times New Roman;serif"/>
                <w:b w:val="false"/>
                <w:color w:val="000000"/>
                <w:sz w:val="13"/>
              </w:rPr>
              <w:t>(1)</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rFonts w:ascii="Times New Roman;serif" w:hAnsi="Times New Roman;serif"/>
                <w:b w:val="false"/>
                <w:color w:val="000000"/>
                <w:sz w:val="13"/>
              </w:rPr>
              <w:t>(1)</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rFonts w:ascii="Times New Roman;serif" w:hAnsi="Times New Roman;serif"/>
                <w:b w:val="false"/>
                <w:color w:val="000000"/>
                <w:sz w:val="13"/>
              </w:rPr>
              <w:t>(1)</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Adjustment to number of target units awarded for PSUs based on achievement of underlying performance goals.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shares and units vested was $48.8 million in 2025, $69.7 million in 2024, and $55.0 million in 2023.</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total unrecognized stock-based compensation expense related to RSAs, RSUs, and PSUs (based on current performance estimates), on December 31, 2025, is presented below:</w:t>
      </w:r>
    </w:p>
    <w:tbl>
      <w:tblPr>
        <w:tblW w:w="8726" w:type="dxa"/>
        <w:jc w:val="left"/>
        <w:tblInd w:w="0" w:type="dxa"/>
        <w:tblLayout w:type="fixed"/>
        <w:tblCellMar>
          <w:top w:w="28" w:type="dxa"/>
          <w:left w:w="28" w:type="dxa"/>
          <w:bottom w:w="28" w:type="dxa"/>
          <w:right w:w="28" w:type="dxa"/>
        </w:tblCellMar>
      </w:tblPr>
      <w:tblGrid>
        <w:gridCol w:w="732"/>
        <w:gridCol w:w="645"/>
        <w:gridCol w:w="648"/>
        <w:gridCol w:w="501"/>
        <w:gridCol w:w="964"/>
        <w:gridCol w:w="260"/>
        <w:gridCol w:w="109"/>
        <w:gridCol w:w="109"/>
        <w:gridCol w:w="109"/>
        <w:gridCol w:w="1359"/>
        <w:gridCol w:w="1359"/>
        <w:gridCol w:w="1931"/>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years)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Vesting Period (Years)</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expense:</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49"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&amp; RSA</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 the Employee Stock Purchase Plan (the "ESP Plan"), we are authorized to sell, pursuant to short-term stock options, shares of our common stock to our full-time and qualifying part-time employees at a discount from our common stock’s fair market value. The ESP Plan operates on the basis of recurring, consecutive one-year periods. Each period commences on August 1 and ends on the following July 31. Compensation expense related to the ESP Plan was not material for any year included in our accompanying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11. DEBT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total debt outstanding:</w:t>
      </w:r>
    </w:p>
    <w:tbl>
      <w:tblPr>
        <w:tblW w:w="8231" w:type="dxa"/>
        <w:jc w:val="left"/>
        <w:tblInd w:w="0" w:type="dxa"/>
        <w:tblLayout w:type="fixed"/>
        <w:tblCellMar>
          <w:top w:w="28" w:type="dxa"/>
          <w:left w:w="28" w:type="dxa"/>
          <w:bottom w:w="28" w:type="dxa"/>
          <w:right w:w="28" w:type="dxa"/>
        </w:tblCellMar>
      </w:tblPr>
      <w:tblGrid>
        <w:gridCol w:w="1594"/>
        <w:gridCol w:w="1400"/>
        <w:gridCol w:w="1415"/>
        <w:gridCol w:w="335"/>
        <w:gridCol w:w="1217"/>
        <w:gridCol w:w="173"/>
        <w:gridCol w:w="109"/>
        <w:gridCol w:w="109"/>
        <w:gridCol w:w="109"/>
        <w:gridCol w:w="330"/>
        <w:gridCol w:w="1199"/>
        <w:gridCol w:w="241"/>
      </w:tblGrid>
      <w:tr>
        <w:trPr/>
        <w:tc>
          <w:tcPr>
            <w:tcW w:w="15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Unamortized premium and deferred finance charges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 and costs</w:t>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5,067.1 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4,844.1 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Company’s senior secured credit facility (as amended from time to time, the "Credit Agreement") consisted of a $1.2 billion revolving credit facility (the "Revolver"), $285.8 million senior secured term loan B-1 due 2028 (the "Term Loan B-1"), $1.1 billion senior secured term loan A due 2029 (the "Term Loan A"), and $100.0 million swing line commitment. Certain amendments to the Credit Agreement entered into during 2023, 2024, and 2025 are described below.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2023, the Company closed an amendment of the Credit Agreement to increase the loans under the Term Loan A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 The Company has $4.4 million of capitalized unamortized debt issuance costs associated with the Term Loan A which are being amortized as interest expense over the remainder of the term.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for the Term Loan B-1 from Secured Overnight Financing Rate ("SOFR") plus 200 basis points to SOFR plus 175 basis points, (ii) eliminates the 0.10% credit spread adjustment, and (iii) makes certain other amendments to the Credit Agreement. </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B-1 requires quarterly payments of 0.25% of the original $300.0 million balance and may be subject to additional mandatory prepayment from excess cash flow on an annual basis per the provisions of the Credit Agreement.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December 31, 2025, that applicable margin was 150 basis points which was based on the pricing grid in the Credit Agreement. The Company had $534.8 million available borrowing capacity, after consideration of $8.2 million in outstanding letters of credit, under the Revolver as of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a commitment fee on the unused portion of the Revolver as determined by a pricing grid based on the consolidated total net secured leverage ratio of the Company. For the period ended December 31, 2025, the Company's commitment fee rate was 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completed the transition of its financing from London Interbank Offered Rate to SOFR during the second quarter of 2023. These transition activities did not have a material impact on the Company’s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year, and transactions with affiliates. The Credit Agreement also contains financial covenants providing for the maintenance of a maximum consolidated secured net leverage ratio and maintenance of a minimum consolidated interest coverage ratio.</w:t>
      </w:r>
    </w:p>
    <w:tbl>
      <w:tblPr>
        <w:tblW w:w="7283" w:type="dxa"/>
        <w:jc w:val="left"/>
        <w:tblInd w:w="0" w:type="dxa"/>
        <w:tblLayout w:type="fixed"/>
        <w:tblCellMar>
          <w:top w:w="28" w:type="dxa"/>
          <w:left w:w="28" w:type="dxa"/>
          <w:bottom w:w="28" w:type="dxa"/>
          <w:right w:w="28" w:type="dxa"/>
        </w:tblCellMar>
      </w:tblPr>
      <w:tblGrid>
        <w:gridCol w:w="1160"/>
        <w:gridCol w:w="1018"/>
        <w:gridCol w:w="1025"/>
        <w:gridCol w:w="182"/>
        <w:gridCol w:w="182"/>
        <w:gridCol w:w="182"/>
        <w:gridCol w:w="109"/>
        <w:gridCol w:w="109"/>
        <w:gridCol w:w="109"/>
        <w:gridCol w:w="559"/>
        <w:gridCol w:w="559"/>
        <w:gridCol w:w="561"/>
        <w:gridCol w:w="109"/>
        <w:gridCol w:w="109"/>
        <w:gridCol w:w="109"/>
        <w:gridCol w:w="351"/>
        <w:gridCol w:w="351"/>
        <w:gridCol w:w="499"/>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Actual 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Requirement</w:t>
            </w:r>
          </w:p>
        </w:tc>
      </w:tr>
      <w:tr>
        <w:trPr/>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coverage ratio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&gt; 2.5 to 1.0</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secured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4.0 to 1.0</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was compliant with all applicable covenants on December 31, 2025.</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2027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2019, the Company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portion of our Credit Agreement. In connection with the offering, we capitalized $8.9 million of debt issuance costs which are being amortized as interest expense over the term of the 2027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2027 Senior Notes were issued at par, with interest payable on April 1st and October 1st of each year, commencing on October 1, 2019. The 2027 Senior Notes will vote as one class under the indenture governing the 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the 2027 Senior Notes at redemption prices set forth in the 2027 Indenture.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27, 2017, the Company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15th and July 15th 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Additional 2028 Notes were issued at 103.25% of the principal amount, plus interest deemed to have accrued from January 15, 2021, with interest payable on January 15th and July 15th of each year, commencing on July 15, 2021. The 2028 Senior Notes will vote as one class under the indenture governing the 2028 Senior Notes. The 3.25% premium is being amortized through interest expense, net over the term of the Additional 2028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P2E Transaction. In connection with the offering, we capitalized $18.3 million of debt issuance costs which are being amortized as interest expense over the term of the 2030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2030 Senior Notes were issued at 100% of the principal amount, plus interest deemed to have accrued from April 13, 2022, with interest payable in arrears on April 1st and October 1st of each year, commencing on October 1, 2022. The 2030 Senior Notes will vote as one class under the indenture governing the 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the 2030 Senior Notes at redemption prices set forth in the 2030 Indenture.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2031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April 25, 2023, the Company completed an offering of $600.0 million in aggregate principal amount of 6.75%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2031 Senior Notes were issued at 100% of the principal amount, plus interest deemed to have accrued from April 25, 2023, with interest payable in arrears on May 1st and November 1st of each year, commencing on November 1, 2023. The 2031 Senior Notes will vote as one class under the indenture governing the 2031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the 2031 Senior Notes at redemption prices set forth in the 2031 Indenture.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Future aggregate maturities of total debt are as follows (in millions):</w:t>
      </w:r>
    </w:p>
    <w:p>
      <w:pPr>
        <w:pStyle w:val="TextBody"/>
        <w:bidi w:val="0"/>
        <w:spacing w:lineRule="auto" w:line="288" w:before="180" w:after="180"/>
        <w:jc w:val="center"/>
        <w:rPr>
          <w:color w:val="000000"/>
        </w:rPr>
      </w:pPr>
      <w:r>
        <w:rPr>
          <w:color w:val="000000"/>
        </w:rPr>
        <w:t> </w:t>
      </w:r>
    </w:p>
    <w:tbl>
      <w:tblPr>
        <w:tblW w:w="2925" w:type="dxa"/>
        <w:jc w:val="center"/>
        <w:tblInd w:w="0" w:type="dxa"/>
        <w:tblLayout w:type="fixed"/>
        <w:tblCellMar>
          <w:top w:w="28" w:type="dxa"/>
          <w:left w:w="28" w:type="dxa"/>
          <w:bottom w:w="28" w:type="dxa"/>
          <w:right w:w="28" w:type="dxa"/>
        </w:tblCellMar>
      </w:tblPr>
      <w:tblGrid>
        <w:gridCol w:w="342"/>
        <w:gridCol w:w="300"/>
        <w:gridCol w:w="304"/>
        <w:gridCol w:w="148"/>
        <w:gridCol w:w="148"/>
        <w:gridCol w:w="148"/>
        <w:gridCol w:w="286"/>
        <w:gridCol w:w="1040"/>
        <w:gridCol w:w="20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capital markets to fund the obligation. Access to capital markets and the terms under which we would fund the obligations are subject to our ability to access the market and other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12. REVENUE FROM CONTRACTS WITH CUSTOMERS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Live and Historical Racing segment had remaining performance obligations on contracts with a duration greater than one year relating to television rights, sponsorships, personal seat licenses, and admissions, with an aggregate transaction price of $255.3 million. The revenue we expect to recognize on these remaining performance obligations is $70.8 million in 2026, $60.2 million in 2027, $35.6 million in 2028, and the remainder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Contract Assets and Contract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were not material as of December 31, 2025 and 2024.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were $79.7 million as of December 31, 2025 and $81.5 million as of December 31, 2024. Contract liabilities are included in current deferred revenue, non-current deferred revenue, and accrued expense and other current liabilities in the accompanying Consolidated Balance Sheets. Contract liabilities primarily relate to our Live and Historical Racing segment. The decrease in contract liabilities from December 31, 2024 to December 31, 2025 was primarily due to the recognition of revenue for fulfilled performance obligations. We recognized $61.2 million of revenue during the year ended December 31, 2025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was included in the contract liabilities balance on December 31, 2024. We recognized $76.1 million of revenue during the year ended December 31, 2024 that was included in the contract liabilities balance on December 31, 2023.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Live and Historical Racing segment, revenue is disaggregated between Churchill Downs Racetrack and historical racing properties given that our racing facilities revenues primarily revolve around live racing events while our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Wagering Services and Solutions segment, revenue is disaggregated between live and simulcast racing, gaming, and other services.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tbl>
      <w:tblPr>
        <w:tblW w:w="7256" w:type="dxa"/>
        <w:jc w:val="left"/>
        <w:tblInd w:w="0" w:type="dxa"/>
        <w:tblLayout w:type="fixed"/>
        <w:tblCellMar>
          <w:top w:w="28" w:type="dxa"/>
          <w:left w:w="28" w:type="dxa"/>
          <w:bottom w:w="28" w:type="dxa"/>
          <w:right w:w="28" w:type="dxa"/>
        </w:tblCellMar>
      </w:tblPr>
      <w:tblGrid>
        <w:gridCol w:w="1196"/>
        <w:gridCol w:w="1047"/>
        <w:gridCol w:w="1056"/>
        <w:gridCol w:w="211"/>
        <w:gridCol w:w="766"/>
        <w:gridCol w:w="109"/>
        <w:gridCol w:w="109"/>
        <w:gridCol w:w="109"/>
        <w:gridCol w:w="109"/>
        <w:gridCol w:w="211"/>
        <w:gridCol w:w="766"/>
        <w:gridCol w:w="109"/>
        <w:gridCol w:w="109"/>
        <w:gridCol w:w="109"/>
        <w:gridCol w:w="109"/>
        <w:gridCol w:w="211"/>
        <w:gridCol w:w="76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Live and Historical Racing: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Racetrack</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from external customers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Intercompany net revenues: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698"/>
        <w:gridCol w:w="472"/>
        <w:gridCol w:w="478"/>
        <w:gridCol w:w="268"/>
        <w:gridCol w:w="975"/>
        <w:gridCol w:w="138"/>
        <w:gridCol w:w="109"/>
        <w:gridCol w:w="109"/>
        <w:gridCol w:w="109"/>
        <w:gridCol w:w="313"/>
        <w:gridCol w:w="919"/>
        <w:gridCol w:w="164"/>
        <w:gridCol w:w="109"/>
        <w:gridCol w:w="109"/>
        <w:gridCol w:w="109"/>
        <w:gridCol w:w="211"/>
        <w:gridCol w:w="766"/>
        <w:gridCol w:w="109"/>
        <w:gridCol w:w="109"/>
        <w:gridCol w:w="109"/>
        <w:gridCol w:w="109"/>
        <w:gridCol w:w="225"/>
        <w:gridCol w:w="817"/>
        <w:gridCol w:w="116"/>
        <w:gridCol w:w="109"/>
        <w:gridCol w:w="109"/>
        <w:gridCol w:w="109"/>
        <w:gridCol w:w="222"/>
        <w:gridCol w:w="427"/>
        <w:gridCol w:w="114"/>
        <w:gridCol w:w="109"/>
        <w:gridCol w:w="109"/>
        <w:gridCol w:w="109"/>
        <w:gridCol w:w="211"/>
        <w:gridCol w:w="766"/>
        <w:gridCol w:w="161"/>
      </w:tblGrid>
      <w:tr>
        <w:trPr/>
        <w:tc>
          <w:tcPr>
            <w:tcW w:w="6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2,925.8 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8"/>
        <w:gridCol w:w="472"/>
        <w:gridCol w:w="478"/>
        <w:gridCol w:w="268"/>
        <w:gridCol w:w="975"/>
        <w:gridCol w:w="138"/>
        <w:gridCol w:w="109"/>
        <w:gridCol w:w="109"/>
        <w:gridCol w:w="109"/>
        <w:gridCol w:w="313"/>
        <w:gridCol w:w="919"/>
        <w:gridCol w:w="164"/>
        <w:gridCol w:w="109"/>
        <w:gridCol w:w="109"/>
        <w:gridCol w:w="109"/>
        <w:gridCol w:w="211"/>
        <w:gridCol w:w="766"/>
        <w:gridCol w:w="109"/>
        <w:gridCol w:w="109"/>
        <w:gridCol w:w="109"/>
        <w:gridCol w:w="109"/>
        <w:gridCol w:w="225"/>
        <w:gridCol w:w="817"/>
        <w:gridCol w:w="116"/>
        <w:gridCol w:w="109"/>
        <w:gridCol w:w="109"/>
        <w:gridCol w:w="109"/>
        <w:gridCol w:w="222"/>
        <w:gridCol w:w="427"/>
        <w:gridCol w:w="114"/>
        <w:gridCol w:w="109"/>
        <w:gridCol w:w="109"/>
        <w:gridCol w:w="109"/>
        <w:gridCol w:w="211"/>
        <w:gridCol w:w="766"/>
        <w:gridCol w:w="161"/>
      </w:tblGrid>
      <w:tr>
        <w:trPr/>
        <w:tc>
          <w:tcPr>
            <w:tcW w:w="6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2,734.2 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2,734.3 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490"/>
        <w:gridCol w:w="497"/>
        <w:gridCol w:w="275"/>
        <w:gridCol w:w="999"/>
        <w:gridCol w:w="141"/>
        <w:gridCol w:w="109"/>
        <w:gridCol w:w="109"/>
        <w:gridCol w:w="109"/>
        <w:gridCol w:w="325"/>
        <w:gridCol w:w="951"/>
        <w:gridCol w:w="170"/>
        <w:gridCol w:w="109"/>
        <w:gridCol w:w="109"/>
        <w:gridCol w:w="109"/>
        <w:gridCol w:w="211"/>
        <w:gridCol w:w="616"/>
        <w:gridCol w:w="109"/>
        <w:gridCol w:w="109"/>
        <w:gridCol w:w="109"/>
        <w:gridCol w:w="109"/>
        <w:gridCol w:w="226"/>
        <w:gridCol w:w="823"/>
        <w:gridCol w:w="117"/>
        <w:gridCol w:w="109"/>
        <w:gridCol w:w="109"/>
        <w:gridCol w:w="109"/>
        <w:gridCol w:w="223"/>
        <w:gridCol w:w="430"/>
        <w:gridCol w:w="115"/>
        <w:gridCol w:w="109"/>
        <w:gridCol w:w="109"/>
        <w:gridCol w:w="109"/>
        <w:gridCol w:w="211"/>
        <w:gridCol w:w="766"/>
        <w:gridCol w:w="161"/>
      </w:tblGrid>
      <w:tr>
        <w:trPr/>
        <w:tc>
          <w:tcPr>
            <w:tcW w:w="71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$60.8 million in 2025, $56.0 million in 2024, and $50.9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13. SUPPLEMENTAL BALANCE SHEET INFORMATION</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w:t>
      </w:r>
    </w:p>
    <w:tbl>
      <w:tblPr>
        <w:tblW w:w="5618" w:type="dxa"/>
        <w:jc w:val="left"/>
        <w:tblInd w:w="0" w:type="dxa"/>
        <w:tblLayout w:type="fixed"/>
        <w:tblCellMar>
          <w:top w:w="28" w:type="dxa"/>
          <w:left w:w="28" w:type="dxa"/>
          <w:bottom w:w="28" w:type="dxa"/>
          <w:right w:w="28" w:type="dxa"/>
        </w:tblCellMar>
      </w:tblPr>
      <w:tblGrid>
        <w:gridCol w:w="1295"/>
        <w:gridCol w:w="1138"/>
        <w:gridCol w:w="1151"/>
        <w:gridCol w:w="211"/>
        <w:gridCol w:w="511"/>
        <w:gridCol w:w="109"/>
        <w:gridCol w:w="109"/>
        <w:gridCol w:w="109"/>
        <w:gridCol w:w="109"/>
        <w:gridCol w:w="211"/>
        <w:gridCol w:w="511"/>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Simulcast and online wagering receivables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recognized credit loss expense of $2.5 million in 2025, $2.8 million in 2024 and $2.9 million in 2023.</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Other current assets</w:t>
      </w:r>
    </w:p>
    <w:tbl>
      <w:tblPr>
        <w:tblW w:w="4464" w:type="dxa"/>
        <w:jc w:val="left"/>
        <w:tblInd w:w="0" w:type="dxa"/>
        <w:tblLayout w:type="fixed"/>
        <w:tblCellMar>
          <w:top w:w="28" w:type="dxa"/>
          <w:left w:w="28" w:type="dxa"/>
          <w:bottom w:w="28" w:type="dxa"/>
          <w:right w:w="28" w:type="dxa"/>
        </w:tblCellMar>
      </w:tblPr>
      <w:tblGrid>
        <w:gridCol w:w="918"/>
        <w:gridCol w:w="804"/>
        <w:gridCol w:w="708"/>
        <w:gridCol w:w="211"/>
        <w:gridCol w:w="511"/>
        <w:gridCol w:w="109"/>
        <w:gridCol w:w="109"/>
        <w:gridCol w:w="109"/>
        <w:gridCol w:w="109"/>
        <w:gridCol w:w="211"/>
        <w:gridCol w:w="51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technology costs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taxes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costs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deposits and other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5318" w:type="dxa"/>
        <w:jc w:val="left"/>
        <w:tblInd w:w="0" w:type="dxa"/>
        <w:tblLayout w:type="fixed"/>
        <w:tblCellMar>
          <w:top w:w="28" w:type="dxa"/>
          <w:left w:w="28" w:type="dxa"/>
          <w:bottom w:w="28" w:type="dxa"/>
          <w:right w:w="28" w:type="dxa"/>
        </w:tblCellMar>
      </w:tblPr>
      <w:tblGrid>
        <w:gridCol w:w="1111"/>
        <w:gridCol w:w="976"/>
        <w:gridCol w:w="987"/>
        <w:gridCol w:w="211"/>
        <w:gridCol w:w="616"/>
        <w:gridCol w:w="109"/>
        <w:gridCol w:w="109"/>
        <w:gridCol w:w="109"/>
        <w:gridCol w:w="109"/>
        <w:gridCol w:w="211"/>
        <w:gridCol w:w="61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 wagering deposits liability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related benefits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Purses payable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fixed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gaming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14. REDEEMABLE NONCONTROLLING INTEREST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April 2024, the Company closed on the sale of 49% of United Tote, a wholly owned subsidiary of CDI, to NYRA Content Management Solutions, LLC ("NYRA"), a subsidiary of the New York Racing Association, Inc. NYRA's interest includes certain embedded redemption features, such as a put right, that are not exclusively within the Company’s control. NYRA's interest is treated as redeemable noncontrolling interest and is presented outside of permanent equity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closed on the purchase of 90% of the outstanding equity interest of Casino Salem, a joint venture with SL Salem, LLC and JPF Casino Enterprises, LLC (collectively, the "Casino Salem Minority Interest Holders"). The Casino Salem Minority Interest Holders' interests include certain embedded redemption features, such as put rights, that are not exclusively within the Company’s control. The Casino Salem Minority Interest Holders' interests are treated as redeemable noncontrolling interest and are not included in the permanent equity on the Company’s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20, Net Income Per Common Share Computations). The table below depicts changes in the Company’s redeemable noncontrolling interest balance.</w:t>
      </w:r>
    </w:p>
    <w:tbl>
      <w:tblPr>
        <w:tblW w:w="6422" w:type="dxa"/>
        <w:jc w:val="left"/>
        <w:tblInd w:w="0" w:type="dxa"/>
        <w:tblLayout w:type="fixed"/>
        <w:tblCellMar>
          <w:top w:w="28" w:type="dxa"/>
          <w:left w:w="28" w:type="dxa"/>
          <w:bottom w:w="28" w:type="dxa"/>
          <w:right w:w="28" w:type="dxa"/>
        </w:tblCellMar>
      </w:tblPr>
      <w:tblGrid>
        <w:gridCol w:w="1887"/>
        <w:gridCol w:w="1659"/>
        <w:gridCol w:w="1673"/>
        <w:gridCol w:w="211"/>
        <w:gridCol w:w="511"/>
        <w:gridCol w:w="109"/>
        <w:gridCol w:w="109"/>
        <w:gridCol w:w="109"/>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initial measurement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initial measurement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Minority holder contributions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15. INVESTMENTS IN AND ADVANCES TO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Investments in and advances to unconsolidated affiliates as of December 31, 2025 and 2024 primarily consisted of interests in Rivers Casino Des Plaines ("Rivers Des Plaines") and Miami Valley Gaming and Racing ("MVG").</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Rivers Des Plaines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ownership of Rivers Des Plaines is comprised of the following: (1) the Company owns 61.3% interest in Midwest Gaming Holdings, LLC ("Midwest Gaming"), the parent company of Rivers Des Plaines, (2) High Plaines Gaming, LLC ("High Plaines"), an affiliate of Rush Street Gaming, LLC owns 36.0% of Midwest Gaming, and (3) Casino Investors, LLC own 2.7% of Midwest Gaming. Both the Company and High Plaines have participating rights over Rivers Des Plaines, and both must consent to certain operating, investing, and financing decisions. As a result, we account for Rivers Des Plaines using the equity method.</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The Company’s investment in Midwest Gaming is presented at our initial cost of investment plus the Company's accumulated proportional share of income or loss, including depreciation/accretion of the difference in the historical basis of the Company’s contribution, less any distributions it has received. Following the point at which the Company gained </w:t>
      </w:r>
      <w:r>
        <w:rPr>
          <w:rFonts w:ascii="Times New Roman;serif" w:hAnsi="Times New Roman;serif"/>
          <w:b w:val="false"/>
          <w:color w:val="000000"/>
          <w:sz w:val="20"/>
        </w:rPr>
        <w:t>61.3% interest in Midwest Gaming, the carrying value of the Company's investment was</w:t>
      </w:r>
      <w:r>
        <w:rPr>
          <w:color w:val="000000"/>
          <w:shd w:fill="FFFFFF" w:val="clear"/>
        </w:rPr>
        <w:t xml:space="preserve"> </w:t>
      </w:r>
      <w:r>
        <w:rPr>
          <w:rFonts w:ascii="Times New Roman;serif" w:hAnsi="Times New Roman;serif"/>
          <w:b w:val="false"/>
          <w:color w:val="000000"/>
          <w:sz w:val="20"/>
          <w:shd w:fill="FFFFFF" w:val="clear"/>
        </w:rPr>
        <w:t xml:space="preserve">$835.0 million higher than the Company’s underlying equity in the net assets of Midwest Gaming. This equity method basis difference was comprised of $853.7 million related to goodwill and indefinite-lived intangible assets, $(13.7) million related to non-depreciable land, $(9.5) million related to buildings that will be accreted into income over a weighted average useful life of 35.3 years, and $4.5 million related to personal property that will be depreciated over a weighted average useful life of 3.7 years.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net aggregate basis difference between the Company’s investment in Midwest Gaming and the amounts of the underlying equity in net assets </w:t>
      </w:r>
      <w:r>
        <w:rPr>
          <w:rFonts w:ascii="Times New Roman;serif" w:hAnsi="Times New Roman;serif"/>
          <w:b w:val="false"/>
          <w:color w:val="000000"/>
          <w:sz w:val="20"/>
        </w:rPr>
        <w:t>was $833.2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recognized a $103.2 million deferred tax liability and a corresponding increase in our investment in unconsolidated affiliates related to an entity we acquired in conjunction with our acquisition of the Clairvest ownership stake in Midwest Gaming.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in Rivers Des Plaines was $572.4 million as of December 31, 2025 and $547.1 million as of December 31, 2024. The Company received distributions from Rivers Des Plaines of $68.5 million in 2025, $92.2 million in 2024 and $111.1 million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Miami Valley Gaming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owns 50% interest in MVG and Delaware North Companies Gaming &amp; Entertainment Inc. ("DNC") owns the remaining 50% interest. Since both we and DNC have participating rights over MVG, and both must consent to certain operating, investing and financing decisions, we account for MVG using the equity method.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in MVG was $112.2 million as of December 31, 2025 and $114.1 million as of December 31, 2024. The Company received distributions from MVG of $47.5 million in 2025, $46.5 million in 2024 and $44.0 million in 2023.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Summarized Financial Results for our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results for our unconsolidated affiliates are summarized below. The summarized income statement information for 2025 and 2024 and summarized balance sheet information as of December 31, 2025 and 2024 includes the following equity investments: MVG and Rivers Des Plaines. </w:t>
      </w:r>
    </w:p>
    <w:tbl>
      <w:tblPr>
        <w:tblW w:w="5333" w:type="dxa"/>
        <w:jc w:val="left"/>
        <w:tblInd w:w="0" w:type="dxa"/>
        <w:tblLayout w:type="fixed"/>
        <w:tblCellMar>
          <w:top w:w="28" w:type="dxa"/>
          <w:left w:w="28" w:type="dxa"/>
          <w:bottom w:w="28" w:type="dxa"/>
          <w:right w:w="28" w:type="dxa"/>
        </w:tblCellMar>
      </w:tblPr>
      <w:tblGrid>
        <w:gridCol w:w="1120"/>
        <w:gridCol w:w="981"/>
        <w:gridCol w:w="988"/>
        <w:gridCol w:w="211"/>
        <w:gridCol w:w="616"/>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Deficit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deficit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deficit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2" w:type="dxa"/>
        <w:jc w:val="left"/>
        <w:tblInd w:w="0" w:type="dxa"/>
        <w:tblLayout w:type="fixed"/>
        <w:tblCellMar>
          <w:top w:w="28" w:type="dxa"/>
          <w:left w:w="28" w:type="dxa"/>
          <w:bottom w:w="28" w:type="dxa"/>
          <w:right w:w="28" w:type="dxa"/>
        </w:tblCellMar>
      </w:tblPr>
      <w:tblGrid>
        <w:gridCol w:w="939"/>
        <w:gridCol w:w="824"/>
        <w:gridCol w:w="832"/>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SG&amp;A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leases with terms greater than one year are primarily related to buildings and land. Our operating leases with terms less than one year are primarily related to equipment.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The estimated discount rate for each of our leases is determined based on adjustments made to our secured debt borrowing rate. </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cost were as follows:</w:t>
      </w:r>
    </w:p>
    <w:tbl>
      <w:tblPr>
        <w:tblW w:w="5638" w:type="dxa"/>
        <w:jc w:val="left"/>
        <w:tblInd w:w="0" w:type="dxa"/>
        <w:tblLayout w:type="fixed"/>
        <w:tblCellMar>
          <w:top w:w="28" w:type="dxa"/>
          <w:left w:w="28" w:type="dxa"/>
          <w:bottom w:w="28" w:type="dxa"/>
          <w:right w:w="28" w:type="dxa"/>
        </w:tblCellMar>
      </w:tblPr>
      <w:tblGrid>
        <w:gridCol w:w="1159"/>
        <w:gridCol w:w="1019"/>
        <w:gridCol w:w="1032"/>
        <w:gridCol w:w="252"/>
        <w:gridCol w:w="610"/>
        <w:gridCol w:w="130"/>
        <w:gridCol w:w="130"/>
        <w:gridCol w:w="130"/>
        <w:gridCol w:w="130"/>
        <w:gridCol w:w="252"/>
        <w:gridCol w:w="610"/>
        <w:gridCol w:w="184"/>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lease cost </w:t>
            </w:r>
            <w:r>
              <w:rPr>
                <w:rFonts w:ascii="Times New Roman;serif" w:hAnsi="Times New Roman;serif"/>
                <w:b w:val="false"/>
                <w:color w:val="000000"/>
                <w:sz w:val="13"/>
              </w:rPr>
              <w:t>(a) (b)</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(b)</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interest expense </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amortization expense </w:t>
            </w:r>
            <w:r>
              <w:rPr>
                <w:rFonts w:ascii="Times New Roman;serif" w:hAnsi="Times New Roman;serif"/>
                <w:b w:val="false"/>
                <w:color w:val="000000"/>
                <w:sz w:val="13"/>
              </w:rPr>
              <w:t>(b)</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pPr>
      <w:r>
        <w:rPr>
          <w:rFonts w:ascii="Times New Roman;serif" w:hAnsi="Times New Roman;serif"/>
          <w:b w:val="false"/>
          <w:color w:val="000000"/>
          <w:sz w:val="13"/>
        </w:rPr>
        <w:t>(a)</w:t>
      </w:r>
      <w:r>
        <w:rPr>
          <w:rFonts w:ascii="Times New Roman;serif" w:hAnsi="Times New Roman;serif"/>
          <w:b w:val="false"/>
          <w:color w:val="000000"/>
          <w:sz w:val="20"/>
        </w:rPr>
        <w:t>Includes leases with terms of one year or less.</w:t>
      </w:r>
    </w:p>
    <w:p>
      <w:pPr>
        <w:pStyle w:val="TextBody"/>
        <w:bidi w:val="0"/>
        <w:spacing w:lineRule="auto" w:line="288" w:before="60" w:after="180"/>
        <w:ind w:left="0" w:right="0" w:hanging="270"/>
        <w:jc w:val="left"/>
        <w:rPr/>
      </w:pPr>
      <w:r>
        <w:rPr>
          <w:rFonts w:ascii="Times New Roman;serif" w:hAnsi="Times New Roman;serif"/>
          <w:b w:val="false"/>
          <w:color w:val="000000"/>
          <w:sz w:val="13"/>
        </w:rPr>
        <w:t>(b)</w:t>
      </w:r>
      <w:r>
        <w:rPr>
          <w:rFonts w:ascii="Times New Roman;serif" w:hAnsi="Times New Roman;serif"/>
          <w:b w:val="false"/>
          <w:color w:val="000000"/>
          <w:sz w:val="20"/>
        </w:rPr>
        <w:t>Includes variable lease costs, which were not material.</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related to leases are as follows: </w:t>
      </w:r>
    </w:p>
    <w:tbl>
      <w:tblPr>
        <w:tblW w:w="8426" w:type="dxa"/>
        <w:jc w:val="left"/>
        <w:tblInd w:w="0" w:type="dxa"/>
        <w:tblLayout w:type="fixed"/>
        <w:tblCellMar>
          <w:top w:w="28" w:type="dxa"/>
          <w:left w:w="28" w:type="dxa"/>
          <w:bottom w:w="28" w:type="dxa"/>
          <w:right w:w="28" w:type="dxa"/>
        </w:tblCellMar>
      </w:tblPr>
      <w:tblGrid>
        <w:gridCol w:w="2165"/>
        <w:gridCol w:w="1903"/>
        <w:gridCol w:w="1932"/>
        <w:gridCol w:w="265"/>
        <w:gridCol w:w="643"/>
        <w:gridCol w:w="137"/>
        <w:gridCol w:w="137"/>
        <w:gridCol w:w="137"/>
        <w:gridCol w:w="137"/>
        <w:gridCol w:w="265"/>
        <w:gridCol w:w="511"/>
        <w:gridCol w:w="194"/>
      </w:tblGrid>
      <w:tr>
        <w:trPr/>
        <w:tc>
          <w:tcPr>
            <w:tcW w:w="216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cash flows from operating leases </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cash flows from finance leases </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leases </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leases was as follows:</w:t>
      </w:r>
    </w:p>
    <w:tbl>
      <w:tblPr>
        <w:tblW w:w="5966" w:type="dxa"/>
        <w:jc w:val="left"/>
        <w:tblInd w:w="0" w:type="dxa"/>
        <w:tblLayout w:type="fixed"/>
        <w:tblCellMar>
          <w:top w:w="28" w:type="dxa"/>
          <w:left w:w="28" w:type="dxa"/>
          <w:bottom w:w="28" w:type="dxa"/>
          <w:right w:w="28" w:type="dxa"/>
        </w:tblCellMar>
      </w:tblPr>
      <w:tblGrid>
        <w:gridCol w:w="1354"/>
        <w:gridCol w:w="1187"/>
        <w:gridCol w:w="1194"/>
        <w:gridCol w:w="207"/>
        <w:gridCol w:w="207"/>
        <w:gridCol w:w="516"/>
        <w:gridCol w:w="109"/>
        <w:gridCol w:w="109"/>
        <w:gridCol w:w="109"/>
        <w:gridCol w:w="197"/>
        <w:gridCol w:w="197"/>
        <w:gridCol w:w="580"/>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leases </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years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Discount Rate </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future undiscounted cash flows associated with the Company's operating and financing lease liabilities were as follows: </w:t>
      </w:r>
    </w:p>
    <w:tbl>
      <w:tblPr>
        <w:tblW w:w="9475" w:type="dxa"/>
        <w:jc w:val="left"/>
        <w:tblInd w:w="0" w:type="dxa"/>
        <w:tblLayout w:type="fixed"/>
        <w:tblCellMar>
          <w:top w:w="28" w:type="dxa"/>
          <w:left w:w="28" w:type="dxa"/>
          <w:bottom w:w="28" w:type="dxa"/>
          <w:right w:w="28" w:type="dxa"/>
        </w:tblCellMar>
      </w:tblPr>
      <w:tblGrid>
        <w:gridCol w:w="2190"/>
        <w:gridCol w:w="1929"/>
        <w:gridCol w:w="1955"/>
        <w:gridCol w:w="402"/>
        <w:gridCol w:w="978"/>
        <w:gridCol w:w="210"/>
        <w:gridCol w:w="109"/>
        <w:gridCol w:w="109"/>
        <w:gridCol w:w="109"/>
        <w:gridCol w:w="357"/>
        <w:gridCol w:w="866"/>
        <w:gridCol w:w="261"/>
      </w:tblGrid>
      <w:tr>
        <w:trPr/>
        <w:tc>
          <w:tcPr>
            <w:tcW w:w="219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Finance Leases </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3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lease liabilities as of December 31, 2025</w:t>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 and other current liabilities (current maturities of leases)</w:t>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 maturities of leases)</w:t>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17. BOARD OF DIRECTOR AND EMPLOYEE BENEFIT PLANS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Board of Directors and Officers Retirement Plan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2005 Deferred Compensation Plan (the "Deferred Plan"), members of our Board of Directors may elect to invest the deferred director fee compensation into our common stock within the Deferred Plan. Investments in our common stock are credited as hypothetical shares of common stock based on the market price of the stock at the time the compensation was earned. Upon the end of the director's service, common stock shares or the cash value is issued to the director based upon their elections.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December 13, 2019, we provided eligible executives the opportunity to defer the receipt of base and bonus compensation to a future date and included a Company matching contribution on base compensation with certain limits through the Deferred Plan. On December 13, 2019, the Compensation Committee elected to freeze the Deferred Plan for eligible executives after the 2019 plan year.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13, 2019, the Compensation Committee adopted the Churchill Downs Incorporated Restricted Stock Unit Deferral Plan, effective January 1, 2020 (the "RSU Deferral Plan"). The Compensation Committee adopted an Amended and Restated Churchill Downs Incorporated Equity Award Deferral Plan, effective December 31, 2024 (the "Equity Award Deferral Plan") to amend the RSU Deferral Plan. Under the Equity Award Deferral Plan, certain individual employees who are management or highly compensated employees of the Company may elect to defer settlement of RSUs, PSUs, and other share based awards granted pursuant to the 2016 Plan.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Other Retirement Plans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a profit-sharing plan for all employees with three months or more of service who are not otherwise participating in an associated profit-sharing plan. We match contributions made by employees up to 3% of the employee’s annual compensation and match at 50% any contributions made by the employee up to an additional 2% of compensation with certain limits. We may also contribute a discretionary amount determined annually by the Board of Directors as well as a year-end discretionary match not to exceed 4% of compensation. Our cash contribution to the plan was $7.3 million in 2025, $6.5 million in 2024, and $5.1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18. FAIR VALUE OF ASSETS AND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endeavor to utilize the best available information in measuring fair value. Financial assets and liabilities are classified based on the lowest level of input that is significant to the fair value measurement.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each class of financial instruments for which it is practicable to estimate: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restricted cash accounts that are held in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are as follows:</w:t>
      </w:r>
    </w:p>
    <w:tbl>
      <w:tblPr>
        <w:tblW w:w="8203" w:type="dxa"/>
        <w:jc w:val="left"/>
        <w:tblInd w:w="0" w:type="dxa"/>
        <w:tblLayout w:type="fixed"/>
        <w:tblCellMar>
          <w:top w:w="28" w:type="dxa"/>
          <w:left w:w="28" w:type="dxa"/>
          <w:bottom w:w="28" w:type="dxa"/>
          <w:right w:w="28" w:type="dxa"/>
        </w:tblCellMar>
      </w:tblPr>
      <w:tblGrid>
        <w:gridCol w:w="640"/>
        <w:gridCol w:w="562"/>
        <w:gridCol w:w="568"/>
        <w:gridCol w:w="410"/>
        <w:gridCol w:w="996"/>
        <w:gridCol w:w="214"/>
        <w:gridCol w:w="109"/>
        <w:gridCol w:w="109"/>
        <w:gridCol w:w="109"/>
        <w:gridCol w:w="259"/>
        <w:gridCol w:w="627"/>
        <w:gridCol w:w="133"/>
        <w:gridCol w:w="109"/>
        <w:gridCol w:w="109"/>
        <w:gridCol w:w="109"/>
        <w:gridCol w:w="211"/>
        <w:gridCol w:w="511"/>
        <w:gridCol w:w="109"/>
        <w:gridCol w:w="109"/>
        <w:gridCol w:w="109"/>
        <w:gridCol w:w="109"/>
        <w:gridCol w:w="261"/>
        <w:gridCol w:w="505"/>
        <w:gridCol w:w="110"/>
        <w:gridCol w:w="109"/>
        <w:gridCol w:w="109"/>
        <w:gridCol w:w="109"/>
        <w:gridCol w:w="213"/>
        <w:gridCol w:w="411"/>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03" w:type="dxa"/>
        <w:jc w:val="left"/>
        <w:tblInd w:w="0" w:type="dxa"/>
        <w:tblLayout w:type="fixed"/>
        <w:tblCellMar>
          <w:top w:w="28" w:type="dxa"/>
          <w:left w:w="28" w:type="dxa"/>
          <w:bottom w:w="28" w:type="dxa"/>
          <w:right w:w="28" w:type="dxa"/>
        </w:tblCellMar>
      </w:tblPr>
      <w:tblGrid>
        <w:gridCol w:w="640"/>
        <w:gridCol w:w="562"/>
        <w:gridCol w:w="568"/>
        <w:gridCol w:w="410"/>
        <w:gridCol w:w="996"/>
        <w:gridCol w:w="214"/>
        <w:gridCol w:w="109"/>
        <w:gridCol w:w="109"/>
        <w:gridCol w:w="109"/>
        <w:gridCol w:w="259"/>
        <w:gridCol w:w="627"/>
        <w:gridCol w:w="133"/>
        <w:gridCol w:w="109"/>
        <w:gridCol w:w="109"/>
        <w:gridCol w:w="109"/>
        <w:gridCol w:w="211"/>
        <w:gridCol w:w="511"/>
        <w:gridCol w:w="109"/>
        <w:gridCol w:w="109"/>
        <w:gridCol w:w="109"/>
        <w:gridCol w:w="109"/>
        <w:gridCol w:w="261"/>
        <w:gridCol w:w="505"/>
        <w:gridCol w:w="110"/>
        <w:gridCol w:w="109"/>
        <w:gridCol w:w="109"/>
        <w:gridCol w:w="109"/>
        <w:gridCol w:w="213"/>
        <w:gridCol w:w="411"/>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19. CONTINGENCIES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20. NET INCOME PER COMMON SHARE COMPUTATIONS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net income per common share computations:</w:t>
      </w:r>
    </w:p>
    <w:tbl>
      <w:tblPr>
        <w:tblW w:w="10205" w:type="dxa"/>
        <w:jc w:val="left"/>
        <w:tblInd w:w="0" w:type="dxa"/>
        <w:tblLayout w:type="fixed"/>
        <w:tblCellMar>
          <w:top w:w="28" w:type="dxa"/>
          <w:left w:w="28" w:type="dxa"/>
          <w:bottom w:w="28" w:type="dxa"/>
          <w:right w:w="28" w:type="dxa"/>
        </w:tblCellMar>
      </w:tblPr>
      <w:tblGrid>
        <w:gridCol w:w="2419"/>
        <w:gridCol w:w="2135"/>
        <w:gridCol w:w="2143"/>
        <w:gridCol w:w="211"/>
        <w:gridCol w:w="616"/>
        <w:gridCol w:w="109"/>
        <w:gridCol w:w="109"/>
        <w:gridCol w:w="109"/>
        <w:gridCol w:w="109"/>
        <w:gridCol w:w="211"/>
        <w:gridCol w:w="616"/>
        <w:gridCol w:w="109"/>
        <w:gridCol w:w="109"/>
        <w:gridCol w:w="109"/>
        <w:gridCol w:w="109"/>
        <w:gridCol w:w="211"/>
        <w:gridCol w:w="616"/>
        <w:gridCol w:w="155"/>
      </w:tblGrid>
      <w:tr>
        <w:trPr/>
        <w:tc>
          <w:tcPr>
            <w:tcW w:w="241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net income per common share: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redeemable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net income per common share: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stock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 per common share data:</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21. SEGMENT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manage our operations through three reportable segments: Live and Historical Racing, Wagering Services and Solutions, and Gaming. Our operating segments reflect the internal management reporting used by our chief operating decision maker, Chief Executive Officer, to evaluate results of operations and to assess performance and allocate resources.</w:t>
      </w:r>
    </w:p>
    <w:p>
      <w:pPr>
        <w:pStyle w:val="TextBody"/>
        <w:bidi w:val="0"/>
        <w:spacing w:lineRule="auto" w:line="288" w:before="60" w:after="120"/>
        <w:ind w:left="0" w:right="0" w:hanging="360"/>
        <w:jc w:val="left"/>
        <w:rPr/>
      </w:pPr>
      <w:r>
        <w:rPr>
          <w:color w:val="000000"/>
        </w:rPr>
        <w:t>•</w:t>
      </w:r>
      <w:r>
        <w:rPr>
          <w:rFonts w:ascii="Times New Roman;serif" w:hAnsi="Times New Roman;serif"/>
          <w:b/>
          <w:i/>
          <w:color w:val="000000"/>
          <w:sz w:val="20"/>
        </w:rPr>
        <w:t xml:space="preserve">Live and Historical Racing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Live and Historical Racing segment includes live and historical pari-mutuel racing related revenue and expenses at Churchill Downs Racetrack and our historical racing properties in Kentucky, Virginia, and New Hampshire.</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Live and Historical Racing properties earn commissions primarily from pari-mutuel wagering on live and historical races; simulcast fees earned from other wagering sites, fees from racing event-related services including admissions, personal seat licenses, sponsorships, television rights, and other miscellaneous services, and revenue from food and beverage services. </w:t>
      </w:r>
    </w:p>
    <w:p>
      <w:pPr>
        <w:pStyle w:val="TextBody"/>
        <w:bidi w:val="0"/>
        <w:spacing w:lineRule="auto" w:line="288" w:before="60" w:after="120"/>
        <w:ind w:left="0" w:right="0" w:hanging="360"/>
        <w:jc w:val="left"/>
        <w:rPr/>
      </w:pPr>
      <w:r>
        <w:rPr>
          <w:color w:val="000000"/>
        </w:rPr>
        <w:t>•</w:t>
      </w:r>
      <w:r>
        <w:rPr>
          <w:rFonts w:ascii="Times New Roman;serif" w:hAnsi="Times New Roman;serif"/>
          <w:b/>
          <w:i/>
          <w:color w:val="000000"/>
          <w:sz w:val="20"/>
        </w:rPr>
        <w:t>Wagering Services and Solutions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Wagering Services and Solutions segment includes the revenue and expenses for TwinSpires Horse Racing, our sports betting business, United Tote, and Exacta.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TwinSpires Horse Racing operates the online horse racing wagering business for TwinSpires.com, BetAmerica.com, and other white-label platforms; facilitates high dollar wagering by international customers; and provides the Bloodstock Research Information Services platform for horse racing statistical data.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sports betting business includes the results of our retail sportsbooks at our wholly owned gaming properties, our retail sportsbooks in Kentucky, and our monetized online sports wagering licenses in Pennsylvania and Kentucky. The retail and online sportsbooks, if applicable, related to Rivers Des Plaines and MVG are included in the Gaming segment.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United Tote manufactures and operates pari-mutuel wagering systems for racetracks, OTBs and other pari-mutuel wagering businesses. United Tote provides totalisator services which accumulate wagers, calculate payoffs and displays wagering data to patrons who wager on horse races. United Tote has contracts to provide totalisator services to third-party racetracks, OTBs and other pari-mutuel wagering businesses and also provides these services at our facilities.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Exacta is a leading provider of central determinant system technology in HRMs across the country. Exacta's system architecture supports multiple game vendors and virtually unlimited math modeling capabilities on a single system enabling Exacta to deliver a diverse gaming library to Company owned and third-party HRM entertainment venues in several states.</w:t>
      </w:r>
    </w:p>
    <w:p>
      <w:pPr>
        <w:pStyle w:val="TextBody"/>
        <w:bidi w:val="0"/>
        <w:spacing w:lineRule="auto" w:line="288" w:before="120" w:after="60"/>
        <w:ind w:left="0" w:right="0" w:hanging="360"/>
        <w:jc w:val="both"/>
        <w:rPr/>
      </w:pPr>
      <w:r>
        <w:rPr>
          <w:color w:val="000000"/>
        </w:rPr>
        <w:t>•</w:t>
      </w:r>
      <w:r>
        <w:rPr>
          <w:rFonts w:ascii="Times New Roman;serif" w:hAnsi="Times New Roman;serif"/>
          <w:b/>
          <w:i/>
          <w:color w:val="000000"/>
          <w:sz w:val="20"/>
        </w:rPr>
        <w:t>Gaming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Gaming segment includes revenue and expenses for the wholly owned casino properties and associated racetrack facilities. The Gaming segment also includes our share of our equity investments in Illinois and Ohio.</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Gaming segment generates revenue and expenses from slot machines, table games, VLTs, video poker, HRMs, ancillary food and beverage services, hotel services, commission on pari-mutuel wagering, racing event-related services, and other miscellaneous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June 26, 2023, the Company's management agreement for Lady Luck expired and was not renewed. The Company completed the sale of substantially all its assets at Lady Luck for an immaterial amount.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aggregated Arlington as well as certain corporate operations, and other immaterial joint ventures in All Other to reconcile to consolidated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Other charges, recoveries, and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property associated with Arlington International Racecourse ("Arlington") was sold on February 15, 2023 to the Chicago Bears. Arlington's results and exit costs in 2023 are treated as an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net revenue from external customers, intercompany revenue from each of our segments, Adjusted EBITDA by segment, and reconciliation of net income to Adjusted EBITDA. Refer to Note 12, Revenue from Contracts with Customers to see intercompany revenues by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revenue from external customers by segment is comprised of the following:</w:t>
      </w:r>
    </w:p>
    <w:tbl>
      <w:tblPr>
        <w:tblW w:w="6762" w:type="dxa"/>
        <w:jc w:val="left"/>
        <w:tblInd w:w="0" w:type="dxa"/>
        <w:tblLayout w:type="fixed"/>
        <w:tblCellMar>
          <w:top w:w="28" w:type="dxa"/>
          <w:left w:w="28" w:type="dxa"/>
          <w:bottom w:w="28" w:type="dxa"/>
          <w:right w:w="28" w:type="dxa"/>
        </w:tblCellMar>
      </w:tblPr>
      <w:tblGrid>
        <w:gridCol w:w="1014"/>
        <w:gridCol w:w="891"/>
        <w:gridCol w:w="900"/>
        <w:gridCol w:w="211"/>
        <w:gridCol w:w="766"/>
        <w:gridCol w:w="109"/>
        <w:gridCol w:w="109"/>
        <w:gridCol w:w="109"/>
        <w:gridCol w:w="109"/>
        <w:gridCol w:w="211"/>
        <w:gridCol w:w="766"/>
        <w:gridCol w:w="109"/>
        <w:gridCol w:w="109"/>
        <w:gridCol w:w="109"/>
        <w:gridCol w:w="109"/>
        <w:gridCol w:w="211"/>
        <w:gridCol w:w="76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by segment is comprised of the following: </w:t>
      </w:r>
    </w:p>
    <w:tbl>
      <w:tblPr>
        <w:tblW w:w="10205" w:type="dxa"/>
        <w:jc w:val="left"/>
        <w:tblInd w:w="0" w:type="dxa"/>
        <w:tblLayout w:type="fixed"/>
        <w:tblCellMar>
          <w:top w:w="28" w:type="dxa"/>
          <w:left w:w="28" w:type="dxa"/>
          <w:bottom w:w="28" w:type="dxa"/>
          <w:right w:w="28" w:type="dxa"/>
        </w:tblCellMar>
      </w:tblPr>
      <w:tblGrid>
        <w:gridCol w:w="1456"/>
        <w:gridCol w:w="1149"/>
        <w:gridCol w:w="984"/>
        <w:gridCol w:w="429"/>
        <w:gridCol w:w="1560"/>
        <w:gridCol w:w="221"/>
        <w:gridCol w:w="109"/>
        <w:gridCol w:w="109"/>
        <w:gridCol w:w="109"/>
        <w:gridCol w:w="588"/>
        <w:gridCol w:w="1722"/>
        <w:gridCol w:w="307"/>
        <w:gridCol w:w="109"/>
        <w:gridCol w:w="109"/>
        <w:gridCol w:w="109"/>
        <w:gridCol w:w="211"/>
        <w:gridCol w:w="766"/>
        <w:gridCol w:w="158"/>
      </w:tblGrid>
      <w:tr>
        <w:trPr/>
        <w:tc>
          <w:tcPr>
            <w:tcW w:w="145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60"/>
        <w:jc w:val="left"/>
        <w:rPr/>
      </w:pPr>
      <w:r>
        <w:rPr/>
      </w:r>
    </w:p>
    <w:tbl>
      <w:tblPr>
        <w:tblW w:w="10205" w:type="dxa"/>
        <w:jc w:val="center"/>
        <w:tblInd w:w="0" w:type="dxa"/>
        <w:tblLayout w:type="fixed"/>
        <w:tblCellMar>
          <w:top w:w="28" w:type="dxa"/>
          <w:left w:w="28" w:type="dxa"/>
          <w:bottom w:w="28" w:type="dxa"/>
          <w:right w:w="28" w:type="dxa"/>
        </w:tblCellMar>
      </w:tblPr>
      <w:tblGrid>
        <w:gridCol w:w="1456"/>
        <w:gridCol w:w="1149"/>
        <w:gridCol w:w="984"/>
        <w:gridCol w:w="429"/>
        <w:gridCol w:w="1560"/>
        <w:gridCol w:w="221"/>
        <w:gridCol w:w="109"/>
        <w:gridCol w:w="109"/>
        <w:gridCol w:w="109"/>
        <w:gridCol w:w="588"/>
        <w:gridCol w:w="1722"/>
        <w:gridCol w:w="307"/>
        <w:gridCol w:w="109"/>
        <w:gridCol w:w="109"/>
        <w:gridCol w:w="109"/>
        <w:gridCol w:w="211"/>
        <w:gridCol w:w="766"/>
        <w:gridCol w:w="158"/>
      </w:tblGrid>
      <w:tr>
        <w:trPr/>
        <w:tc>
          <w:tcPr>
            <w:tcW w:w="145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205" w:type="dxa"/>
        <w:jc w:val="center"/>
        <w:tblInd w:w="0" w:type="dxa"/>
        <w:tblLayout w:type="fixed"/>
        <w:tblCellMar>
          <w:top w:w="28" w:type="dxa"/>
          <w:left w:w="28" w:type="dxa"/>
          <w:bottom w:w="28" w:type="dxa"/>
          <w:right w:w="28" w:type="dxa"/>
        </w:tblCellMar>
      </w:tblPr>
      <w:tblGrid>
        <w:gridCol w:w="1477"/>
        <w:gridCol w:w="1172"/>
        <w:gridCol w:w="1006"/>
        <w:gridCol w:w="436"/>
        <w:gridCol w:w="1584"/>
        <w:gridCol w:w="224"/>
        <w:gridCol w:w="109"/>
        <w:gridCol w:w="109"/>
        <w:gridCol w:w="109"/>
        <w:gridCol w:w="599"/>
        <w:gridCol w:w="1755"/>
        <w:gridCol w:w="313"/>
        <w:gridCol w:w="109"/>
        <w:gridCol w:w="109"/>
        <w:gridCol w:w="109"/>
        <w:gridCol w:w="211"/>
        <w:gridCol w:w="616"/>
        <w:gridCol w:w="158"/>
      </w:tblGrid>
      <w:tr>
        <w:trPr/>
        <w:tc>
          <w:tcPr>
            <w:tcW w:w="147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vAlign w:val="center"/>
          </w:tcPr>
          <w:p>
            <w:pPr>
              <w:pStyle w:val="TableContents"/>
              <w:bidi w:val="0"/>
              <w:spacing w:before="0" w:after="283"/>
              <w:jc w:val="left"/>
              <w:rPr>
                <w:sz w:val="4"/>
                <w:szCs w:val="4"/>
              </w:rPr>
            </w:pPr>
            <w:r>
              <w:rPr>
                <w:sz w:val="4"/>
                <w:szCs w:val="4"/>
              </w:rPr>
            </w:r>
          </w:p>
        </w:tc>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Other operating expense primarily includes supplies, regulatory licenses and fees, property taxes, and third-party service fees and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2256"/>
        <w:gridCol w:w="1983"/>
        <w:gridCol w:w="2008"/>
        <w:gridCol w:w="211"/>
        <w:gridCol w:w="766"/>
        <w:gridCol w:w="109"/>
        <w:gridCol w:w="109"/>
        <w:gridCol w:w="109"/>
        <w:gridCol w:w="109"/>
        <w:gridCol w:w="211"/>
        <w:gridCol w:w="766"/>
        <w:gridCol w:w="109"/>
        <w:gridCol w:w="109"/>
        <w:gridCol w:w="109"/>
        <w:gridCol w:w="109"/>
        <w:gridCol w:w="211"/>
        <w:gridCol w:w="766"/>
        <w:gridCol w:w="155"/>
      </w:tblGrid>
      <w:tr>
        <w:trPr/>
        <w:tc>
          <w:tcPr>
            <w:tcW w:w="225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reserves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exit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(benefit),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Rivers Des Plaines' legal reserves and transactions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Churchill Downs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total capital expenditures for each of our segments:</w:t>
      </w:r>
    </w:p>
    <w:tbl>
      <w:tblPr>
        <w:tblW w:w="6477" w:type="dxa"/>
        <w:jc w:val="left"/>
        <w:tblInd w:w="0" w:type="dxa"/>
        <w:tblLayout w:type="fixed"/>
        <w:tblCellMar>
          <w:top w:w="28" w:type="dxa"/>
          <w:left w:w="28" w:type="dxa"/>
          <w:bottom w:w="28" w:type="dxa"/>
          <w:right w:w="28" w:type="dxa"/>
        </w:tblCellMar>
      </w:tblPr>
      <w:tblGrid>
        <w:gridCol w:w="1073"/>
        <w:gridCol w:w="943"/>
        <w:gridCol w:w="954"/>
        <w:gridCol w:w="211"/>
        <w:gridCol w:w="616"/>
        <w:gridCol w:w="109"/>
        <w:gridCol w:w="109"/>
        <w:gridCol w:w="109"/>
        <w:gridCol w:w="109"/>
        <w:gridCol w:w="211"/>
        <w:gridCol w:w="616"/>
        <w:gridCol w:w="109"/>
        <w:gridCol w:w="109"/>
        <w:gridCol w:w="109"/>
        <w:gridCol w:w="109"/>
        <w:gridCol w:w="211"/>
        <w:gridCol w:w="616"/>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does not review disaggregated assets by segment. The measure of segment assets is reported on the balance sheet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22. RELATED PARTY TRANSACTIONS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Directors and employees may from time to time own or have interests in horses racing at our racetracks. All such races are conducted under the regulations of each state’s respective regulatory agency, as applicable, and no director or employee receives any extra or special benefit with regard to having his or her horses selected to run in races or in connection with the actual running of races. There is no material financial statement impact attributable to directors or employees who may have interests in horses racing at our racetracks.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enter into transactions with certain of our officers and directors for the sale of personal seat licenses, suite accommodations, and tickets for our live racing events. We believe that each such transaction has been on terms no less favorable for us than could have been obtained in a transaction with a third-party, and no officer or director received any extra or special benefit in connection with such transactions.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Stock Repurchase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December 18, 2023, the Company entered into the 2023 Stock Repurchase Agreement with an affiliate of TDG to repurchase 1,000,000 shares of the Company’s common stock, for $123.75 per share representing a discount of 4.03% to the closing price on December 15, 2023 of $128.95 for an aggregate purchase price of $123.8 million. The repurchase of the shares of Company's common stock pursuant to the 2023 Stock Repurchase Agreement closed on January 2, 2024, and contains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both"/>
        <w:rPr/>
      </w:pPr>
      <w:r>
        <w:rPr/>
      </w:r>
    </w:p>
    <w:p>
      <w:pPr>
        <w:pStyle w:val="TextBody"/>
        <w:bidi w:val="0"/>
        <w:spacing w:before="6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Churchill Downs Incorporated</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Churchill Downs Incorporated and its subsidiaries (the "Company") as of December 31, 2025 and 2024, and the related consolidated statements of comprehensive income, of shareholders' equity and of cash flows for each of the three years in the period ended December 31, 2025, including the related notes and schedule of valuation and qualifying accounts for each of the three years in the period ended December 31, 2025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60" w:after="120"/>
        <w:jc w:val="left"/>
        <w:rPr>
          <w:rFonts w:ascii="Times New Roman;serif" w:hAnsi="Times New Roman;serif"/>
          <w:b w:val="false"/>
          <w:i/>
          <w:color w:val="000000"/>
          <w:sz w:val="20"/>
        </w:rPr>
      </w:pPr>
      <w:r>
        <w:rPr>
          <w:rFonts w:ascii="Times New Roman;serif" w:hAnsi="Times New Roman;serif"/>
          <w:b w:val="false"/>
          <w:i/>
          <w:color w:val="000000"/>
          <w:sz w:val="20"/>
        </w:rPr>
        <w:t>Valuation of the Acquired Casino Salem Gaming Rights Intangible Asset</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3 to the consolidated financial statements, on August 27, 2025, the Company completed its acquisition of 90% of Casino Salem for a base purchase price of $180.0 million. Management recorded a $196.6 million indefinite-lived gaming rights intangible asset, which represented the fair value of the gaming rights at the date of acquisition. The fair value of the gaming rights acquired was determined using the Greenfield Method, which is an income approach methodology. The estimated future revenue, future operating expenses, start-up costs, and discount rate were the primary inputs in the valuation.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the acquired Casino Salem gaming rights intangible asset is a critical audit matter are (i) the significant judgment by management when developing the fair value estimate of the Casino Salem gaming rights intangible asset acquired; (ii) a high degree of auditor judgment, subjectivity, and effort in performing procedures and evaluating management’s significant assumptions related to estimated future revenue, future operating expenses, and discount rate; and (iii) the audit effort involved the use of professionals with specialized skill and knowledge.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accounting for an asset acquisition, including controls over management’s valuation of the Casino Salem gaming rights intangible asset acquired. These procedures also included, among others (i) reading the purchase agreement; (ii) testing management’s process for developing the fair value estimate of the Casino Salem gaming rights intangible asset acquired; (iii) evaluating the appropriateness of the Greenfield Method used by management; (iv) testing the completeness and accuracy of the underlying data used in the Greenfield Method; and (v) evaluating the reasonableness of the significant assumptions used by management related to estimated future revenue, future operating expenses, and discount rate. Evaluating management’s assumptions related to estimated future revenue and future operating expenses involved considering (i) the current and past performance of similar casino properties; (ii) the consistency with economic and industry forecasts; and (iii) whether the assumptions were consistent with evidence obtained in other areas of the audit. Professionals with specialized skill and knowledge were used to assist in evaluating (i) the appropriateness of the Greenfield Method and (ii) the reasonableness of the discount rate assumption.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Louisville, Kentucky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that we filed or submitted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2025. Based upon the foregoing, our Chief Executive Officer and Chief Financial Officer concluded that our disclosure controls and procedures were effective.</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60" w:after="180"/>
        <w:jc w:val="both"/>
        <w:rPr/>
      </w:pPr>
      <w:r>
        <w:rPr>
          <w:rFonts w:ascii="Times New Roman;serif" w:hAnsi="Times New Roman;serif"/>
          <w:b w:val="false"/>
          <w:color w:val="000000"/>
          <w:sz w:val="20"/>
        </w:rPr>
        <w:t>Management is responsible for establishing and maintaining adequate internal control over financial reporting of Churchill Downs Incorporated, as defined in Rules 13a-15(f) or 15d-15(f) under the Securities Exchange Act of 1934, as amended. Under the supervision and with the participation of our management, including our Chief Executive Officer and Chief Financial Officer, we conducted an evaluation of the effectiveness of Churchill Downs Incorporated's internal control over financial reporting based upon the framework in the</w:t>
      </w:r>
      <w:r>
        <w:rPr>
          <w:color w:val="000000"/>
        </w:rPr>
        <w:t xml:space="preserve"> </w:t>
      </w:r>
      <w:r>
        <w:rPr>
          <w:rFonts w:ascii="Times New Roman;serif" w:hAnsi="Times New Roman;serif"/>
          <w:b w:val="false"/>
          <w:i/>
          <w:color w:val="000000"/>
          <w:sz w:val="20"/>
        </w:rPr>
        <w:t>Integrated Control-Integrated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w:t>
      </w:r>
    </w:p>
    <w:p>
      <w:pPr>
        <w:pStyle w:val="TextBody"/>
        <w:bidi w:val="0"/>
        <w:spacing w:lineRule="auto" w:line="288" w:before="60" w:after="180"/>
        <w:jc w:val="both"/>
        <w:rPr/>
      </w:pPr>
      <w:r>
        <w:rPr>
          <w:rFonts w:ascii="Times New Roman;serif" w:hAnsi="Times New Roman;serif"/>
          <w:b w:val="false"/>
          <w:color w:val="000000"/>
          <w:sz w:val="20"/>
        </w:rPr>
        <w:t xml:space="preserve">Based upon our evaluation under the framework in the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management has concluded that Churchill Downs Incorporated's internal control over financial reporting was effective as of December 31, 2025.</w:t>
      </w:r>
    </w:p>
    <w:tbl>
      <w:tblPr>
        <w:tblW w:w="7507"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828"/>
        <w:gridCol w:w="828"/>
        <w:gridCol w:w="833"/>
        <w:gridCol w:w="109"/>
        <w:gridCol w:w="109"/>
        <w:gridCol w:w="109"/>
        <w:gridCol w:w="645"/>
        <w:gridCol w:w="645"/>
        <w:gridCol w:w="915"/>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 E. Rauch</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E. Rauch</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appears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u w:val="single"/>
        </w:rPr>
      </w:pPr>
      <w:r>
        <w:rPr>
          <w:rFonts w:ascii="Times New Roman;serif" w:hAnsi="Times New Roman;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information with respect to our directors and audit committee is incorporated by reference to the definitive proxy statement on Schedule 14A to be filed with the Securities and Exchange Commission no later than 120 days after December 31, 2025.</w:t>
      </w:r>
    </w:p>
    <w:p>
      <w:pPr>
        <w:pStyle w:val="TextBody"/>
        <w:bidi w:val="0"/>
        <w:spacing w:lineRule="auto" w:line="288" w:before="180" w:after="180"/>
        <w:jc w:val="both"/>
        <w:rPr/>
      </w:pPr>
      <w:r>
        <w:rPr>
          <w:rFonts w:ascii="Times New Roman;serif" w:hAnsi="Times New Roman;serif"/>
          <w:b w:val="false"/>
          <w:color w:val="000000"/>
          <w:sz w:val="20"/>
        </w:rPr>
        <w:t xml:space="preserve">We have adopted a Code of Conduct that applies to all directors, employees, and officers, including our Chief Executive Officer, Chief Financial Officer and principal financial officers. This Code of Conduct is available on our corporate website, </w:t>
      </w:r>
      <w:r>
        <w:rPr>
          <w:rFonts w:ascii="Times New Roman;serif" w:hAnsi="Times New Roman;serif"/>
          <w:b w:val="false"/>
          <w:color w:val="000000"/>
          <w:sz w:val="20"/>
          <w:u w:val="single"/>
        </w:rPr>
        <w:t>www.churchilldownsincorporated.com</w:t>
      </w:r>
      <w:r>
        <w:rPr>
          <w:rFonts w:ascii="Times New Roman;serif" w:hAnsi="Times New Roman;serif"/>
          <w:b w:val="false"/>
          <w:color w:val="000000"/>
          <w:sz w:val="20"/>
        </w:rPr>
        <w:t xml:space="preserve">, under the "Governance" subheading of the "Investors" heading and is also available to shareholders upon request.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an insider trading policy governing the purchase and sale and other disposition of Company securities by our directors, officers and employees. The Company believes this policy is reasonably designed to promote compliance with insider trading laws, rules and regulations, and Nasdaq listing standards. It is also our policy that the Company will not trade in company securities in violation of applicable securities laws or stock exchange listing standards.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Information about our Executive Officers </w:t>
      </w:r>
    </w:p>
    <w:tbl>
      <w:tblPr>
        <w:tblW w:w="10205" w:type="dxa"/>
        <w:jc w:val="left"/>
        <w:tblInd w:w="0" w:type="dxa"/>
        <w:tblLayout w:type="fixed"/>
        <w:tblCellMar>
          <w:top w:w="28" w:type="dxa"/>
          <w:left w:w="28" w:type="dxa"/>
          <w:bottom w:w="28" w:type="dxa"/>
          <w:right w:w="28" w:type="dxa"/>
        </w:tblCellMar>
      </w:tblPr>
      <w:tblGrid>
        <w:gridCol w:w="695"/>
        <w:gridCol w:w="611"/>
        <w:gridCol w:w="615"/>
        <w:gridCol w:w="109"/>
        <w:gridCol w:w="109"/>
        <w:gridCol w:w="109"/>
        <w:gridCol w:w="252"/>
        <w:gridCol w:w="182"/>
        <w:gridCol w:w="183"/>
        <w:gridCol w:w="109"/>
        <w:gridCol w:w="109"/>
        <w:gridCol w:w="109"/>
        <w:gridCol w:w="2049"/>
        <w:gridCol w:w="2049"/>
        <w:gridCol w:w="291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Principal Occupation for the Past Five Years </w:t>
              <w:br/>
              <w:t>and Position with Churchill Downs Incorporated</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since August 2014; President and Chief Operating Officer from March 2011 to August 2014.</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Operating Officer since October 2015; President and Chief Financial Officer from August 2014 to October 2015; Executive Vice President and Chief Financial Officer from October 2007 to August 2014.</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since October 2015; Executive Vice President and Chief Financial Officer of Erie Insurance Group and Erie Indemnity Company, a public corporation (Nasdaq: ERIE), from March 2009 through October 2015.</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K. Blackwell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 since March 2017; Vice President, Operations from February 2015 to March 2017; Vice President, Legal from April 2011 to February 2015; Vice President, Legal and Regulatory Affairs for TwinSpires from January 2007 to May 2011; Corporate Counsel from April 2005 to December 2007.</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executive compensation is incorporated by reference to the definitive proxy statement on Schedule 14A to be filed with the Securities and Exchange Commission no later than 120 days after December 31, 2025; provided, that the Compensation Committee Report will not be deemed to be "filed" with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12.SECURITY OWNERSHIP OF CERTAIN BENEFICIAL OWNERS AND MANAGEMENT AND RELATED SHAREHOLDER MATTERS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security ownership of certain beneficial owners and management and related shareholder matters is with respect to securities authorized for issuance under equity compensation plans incorporated by reference to the definitive proxy statement on Schedule 14A to be filed with the Securities and Exchange Commission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transactions with related persons and director independence matters is incorporated by reference to the definitive proxy statement on Schedule 14A to be filed with the Securities and Exchange Commission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14.PRINCIPAL ACCOUNTING FEES AND SERVICES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principal accounting fees and services is incorporated by reference to the definitive proxy statement on Schedule 14A to be filed with the Securities and Exchange Commission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u w:val="single"/>
        </w:rPr>
      </w:pPr>
      <w:r>
        <w:rPr>
          <w:rFonts w:ascii="Times New Roman;serif" w:hAnsi="Times New Roman;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15.EXHIBITS AND FINANCIAL STATEMENT SCHEDULE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035"/>
        <w:gridCol w:w="2923"/>
        <w:gridCol w:w="2928"/>
        <w:gridCol w:w="189"/>
        <w:gridCol w:w="189"/>
        <w:gridCol w:w="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of Churchill Downs Incorporated for the years ended 2025, 2024 and 2023 are included in Part II, Item 8:</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121">
              <w:r>
                <w:rPr>
                  <w:rStyle w:val="InternetLink"/>
                  <w:rFonts w:ascii="Times New Roman;serif" w:hAnsi="Times New Roman;serif"/>
                  <w:b w:val="false"/>
                  <w:color w:val="000000"/>
                  <w:sz w:val="20"/>
                  <w:u w:val="single"/>
                </w:rPr>
                <w:t>Consolidated Statements of Comprehensive Income</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121">
              <w:r>
                <w:rPr>
                  <w:rStyle w:val="InternetLink"/>
                  <w:rFonts w:ascii="Times New Roman;serif" w:hAnsi="Times New Roman;serif"/>
                  <w:b w:val="false"/>
                  <w:color w:val="000000"/>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124">
              <w:r>
                <w:rPr>
                  <w:rStyle w:val="InternetLink"/>
                  <w:rFonts w:ascii="Times New Roman;serif" w:hAnsi="Times New Roman;serif"/>
                  <w:b w:val="false"/>
                  <w:color w:val="000000"/>
                  <w:sz w:val="20"/>
                  <w:u w:val="single"/>
                </w:rPr>
                <w:t>Consolidated Balance Sheets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124">
              <w:r>
                <w:rPr>
                  <w:rStyle w:val="InternetLink"/>
                  <w:rFonts w:ascii="Times New Roman;serif" w:hAnsi="Times New Roman;serif"/>
                  <w:b w:val="false"/>
                  <w:color w:val="000000"/>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127">
              <w:r>
                <w:rPr>
                  <w:rStyle w:val="InternetLink"/>
                  <w:rFonts w:ascii="Times New Roman;serif" w:hAnsi="Times New Roman;serif"/>
                  <w:b w:val="false"/>
                  <w:color w:val="000000"/>
                  <w:sz w:val="20"/>
                  <w:u w:val="single"/>
                </w:rPr>
                <w:t>Consolidated Statements of Shareholders’ Equity</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127">
              <w:r>
                <w:rPr>
                  <w:rStyle w:val="InternetLink"/>
                  <w:rFonts w:ascii="Times New Roman;serif" w:hAnsi="Times New Roman;serif"/>
                  <w:b w:val="false"/>
                  <w:color w:val="000000"/>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130">
              <w:r>
                <w:rPr>
                  <w:rStyle w:val="InternetLink"/>
                  <w:rFonts w:ascii="Times New Roman;serif" w:hAnsi="Times New Roman;serif"/>
                  <w:b w:val="false"/>
                  <w:color w:val="000000"/>
                  <w:sz w:val="20"/>
                  <w:u w:val="single"/>
                </w:rPr>
                <w:t>Consolidated Statements of Cash Flows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130">
              <w:r>
                <w:rPr>
                  <w:rStyle w:val="InternetLink"/>
                  <w:rFonts w:ascii="Times New Roman;serif" w:hAnsi="Times New Roman;serif"/>
                  <w:b w:val="false"/>
                  <w:color w:val="000000"/>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133">
              <w:r>
                <w:rPr>
                  <w:rStyle w:val="InternetLink"/>
                  <w:rFonts w:ascii="Times New Roman;serif" w:hAnsi="Times New Roman;serif"/>
                  <w:b w:val="false"/>
                  <w:color w:val="000000"/>
                  <w:sz w:val="20"/>
                  <w:u w:val="single"/>
                </w:rPr>
                <w:t>Notes to Consolidated Financial Statements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133">
              <w:r>
                <w:rPr>
                  <w:rStyle w:val="InternetLink"/>
                  <w:rFonts w:ascii="Times New Roman;serif" w:hAnsi="Times New Roman;serif"/>
                  <w:b w:val="false"/>
                  <w:color w:val="000000"/>
                  <w:sz w:val="20"/>
                  <w:u w:val="single"/>
                </w:rPr>
                <w:t>52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235">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00000"/>
                <w:sz w:val="20"/>
                <w:u w:val="single"/>
              </w:rPr>
              <w:t xml:space="preserve"> (PCAOB ID 238)</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235">
              <w:r>
                <w:rPr>
                  <w:rStyle w:val="InternetLink"/>
                  <w:rFonts w:ascii="Times New Roman;serif" w:hAnsi="Times New Roman;serif"/>
                  <w:b w:val="false"/>
                  <w:color w:val="000000"/>
                  <w:sz w:val="20"/>
                  <w:u w:val="single"/>
                </w:rPr>
                <w:t>89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286">
              <w:r>
                <w:rPr>
                  <w:rStyle w:val="InternetLink"/>
                  <w:rFonts w:ascii="Times New Roman;serif" w:hAnsi="Times New Roman;serif"/>
                  <w:b w:val="false"/>
                  <w:color w:val="000000"/>
                  <w:sz w:val="20"/>
                  <w:u w:val="single"/>
                </w:rPr>
                <w:t>Schedule II—Valuation and Qualifying Accounts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286">
              <w:r>
                <w:rPr>
                  <w:rStyle w:val="InternetLink"/>
                  <w:rFonts w:ascii="Times New Roman;serif" w:hAnsi="Times New Roman;serif"/>
                  <w:b w:val="false"/>
                  <w:color w:val="000000"/>
                  <w:sz w:val="20"/>
                  <w:u w:val="single"/>
                </w:rPr>
                <w:t>103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applicable, not significant or not required, or because the required information is included in the consolidated financial statements or notes thereto.</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list of required exhibits, see exhibit index.</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277">
              <w:r>
                <w:rPr>
                  <w:rStyle w:val="InternetLink"/>
                  <w:rFonts w:ascii="Times New Roman;serif" w:hAnsi="Times New Roman;serif"/>
                  <w:b w:val="false"/>
                  <w:color w:val="000000"/>
                  <w:sz w:val="20"/>
                  <w:u w:val="single"/>
                </w:rPr>
                <w:t>95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5f5ce63184b0dbe22097e2d9ebe88_277">
              <w:r>
                <w:rPr>
                  <w:rStyle w:val="InternetLink"/>
                  <w:rFonts w:ascii="Times New Roman;serif" w:hAnsi="Times New Roman;serif"/>
                  <w:b w:val="false"/>
                  <w:color w:val="000000"/>
                  <w:sz w:val="20"/>
                  <w:u w:val="single"/>
                </w:rPr>
                <w:t>95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5f5ce63184b0dbe22097e2d9ebe88_277">
              <w:r>
                <w:rPr>
                  <w:rStyle w:val="InternetLink"/>
                  <w:rFonts w:ascii="Times New Roman;serif" w:hAnsi="Times New Roman;serif"/>
                  <w:b w:val="false"/>
                  <w:color w:val="000000"/>
                  <w:sz w:val="20"/>
                  <w:u w:val="single"/>
                </w:rPr>
                <w:t>See exhibit index.</w:t>
              </w:r>
            </w:hyperlink>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financial statements and schedules except those items listed under Items 15(a)(1) and (2) above are omitted because they are not applicable or not required, or because the required information is included in the consolidated financial statements or notes thereto.</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164"/>
        <w:gridCol w:w="144"/>
        <w:gridCol w:w="144"/>
        <w:gridCol w:w="154"/>
        <w:gridCol w:w="154"/>
        <w:gridCol w:w="158"/>
        <w:gridCol w:w="109"/>
        <w:gridCol w:w="109"/>
        <w:gridCol w:w="109"/>
        <w:gridCol w:w="1676"/>
        <w:gridCol w:w="1676"/>
        <w:gridCol w:w="1692"/>
        <w:gridCol w:w="109"/>
        <w:gridCol w:w="109"/>
        <w:gridCol w:w="109"/>
        <w:gridCol w:w="1077"/>
        <w:gridCol w:w="1066"/>
        <w:gridCol w:w="1071"/>
        <w:gridCol w:w="109"/>
        <w:gridCol w:w="109"/>
        <w:gridCol w:w="157"/>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as of February 18, 2022, by and between Peninsula Pacific Entertainment Intermediate Holdings LLC and Churchill Downs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2.1 to Current Report on Form 8-K filed February 22,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Amendment No. 1 to Purchase Agreement, dated as of September 2, 2022, by and between Peninsula Pacific Entertainment Intermediate Holdings LLC and Churchill Downs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2.1 to Current Report on Form 8-K filed September 6,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to the Amended and Restated Articles of Incorporation of Churchill Downs Incorporated effective as of the close of business on May 19,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Current Report on Form 8-K filed on April 25,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Articles of Incorporation of Churchill Downs Incorporated, as amended and restated on January 25,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 to Current Report on Form 8-K filed January 17,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00"/>
                  <w:sz w:val="20"/>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Churchill Downs Incorporated, as amended October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Current Report on Form 8-K filed October 25,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Agreement, dated as of March 19, 2008 by and between Churchill Downs Incorporated and National City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 to Current Report on Form 8-K filed March 17, 2008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December 27, 2017,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 to Current Report on Form 8-K filed December 27,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00"/>
                  <w:sz w:val="20"/>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March 25, 2019,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 to Current Report on Form 8-K filed March 26,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00"/>
                  <w:sz w:val="20"/>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March 17, 2021,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Exhibit 4.1 to Current Report on Form 8-K filed March 18, 2021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00"/>
                  <w:sz w:val="20"/>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April 13, 2022, by and between CDI Escrow Issuer, Inc. and U.S. Bank National Association as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 to Current Report on Form 8-K filed April 14,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00"/>
                  <w:sz w:val="20"/>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as of December 27, 2017,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 to Current Report on Form 8-K filed December 27,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00"/>
                  <w:sz w:val="20"/>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as of March 25, 2019,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 to Current Report on Form 8-K filed March 26,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00"/>
                  <w:sz w:val="20"/>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as of March 17, 2021,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 to Current Report on Form 8-K filed March 18,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00"/>
                  <w:sz w:val="20"/>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April 13, 2022, by and between CDI Escrow Issuer, Inc. and J.P. Morgan Securities LLC, as representative of the initial purchasers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 to Current Report on Form 8-K filed April 14,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00"/>
                  <w:sz w:val="20"/>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Registrant’s Securities Registered Pursuant to Section 12 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4.10 to Annual Report on Form 10-K for the fiscal year ended December 31, 2023 filed February 21,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00"/>
                  <w:sz w:val="20"/>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April 25, 2023 among, CDI, the Guarantors and U.S. Bank Trust Company, National Association, as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 to Current Report on Form 8-K filed on April 25,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00"/>
                  <w:sz w:val="20"/>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April 25, 2023 by and among CDI, the Guarantors (stated therein) and J.P. Morgan Securities, LLC, as representative of the initial purchasers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 to Current Report on Form 8-K filed on April 25,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54"/>
        <w:gridCol w:w="154"/>
        <w:gridCol w:w="158"/>
        <w:gridCol w:w="109"/>
        <w:gridCol w:w="109"/>
        <w:gridCol w:w="109"/>
        <w:gridCol w:w="2060"/>
        <w:gridCol w:w="2060"/>
        <w:gridCol w:w="2079"/>
        <w:gridCol w:w="109"/>
        <w:gridCol w:w="109"/>
        <w:gridCol w:w="109"/>
        <w:gridCol w:w="686"/>
        <w:gridCol w:w="686"/>
        <w:gridCol w:w="688"/>
        <w:gridCol w:w="109"/>
        <w:gridCol w:w="109"/>
        <w:gridCol w:w="156"/>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00"/>
                  <w:sz w:val="20"/>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relating to Churchill Downs Incorporated’s 5.50% Senior Unsecured Notes due 2027, dated as of March 19,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4.3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00"/>
                  <w:sz w:val="20"/>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relating to Churchill Downs Incorporated’s 5.50% Senior Unsecured Notes due 2027, dated as of October 5,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4.4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00"/>
                  <w:sz w:val="20"/>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relating to Churchill Downs Incorporated’s 5.50% Senior Unsecured Notes due 2027, dated as of October 26,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4.5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00"/>
                  <w:sz w:val="20"/>
                </w:rPr>
                <w:t>4.16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Supplemental Indenture relating to Churchill Downs Incorporated’s 5.50% Senior Unsecured Notes due 2027, dated as of November 1,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4.6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00"/>
                  <w:sz w:val="20"/>
                </w:rPr>
                <w:t>4.17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Supplemental Indenture relating to Churchill Downs Incorporated’s 5.50% Senior Unsecured Notes due 2027, dated as of May 1, 2023,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4.7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00"/>
                  <w:sz w:val="20"/>
                </w:rPr>
                <w:t>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relating to Churchill Downs Incorporated’s 4.75% Senior Unsecured Notes due 2028, dated as of December 12, 2018,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4.8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00"/>
                  <w:sz w:val="20"/>
                </w:rPr>
                <w:t>4.19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relating to Churchill Downs Incorporated’s 4.75% Senior Unsecured Notes due 2028, dated as of March 17,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4.9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00"/>
                  <w:sz w:val="20"/>
                </w:rPr>
                <w:t>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relating to Churchill Downs Incorporated’s 4.75% Senior Unsecured Notes due 2028, dated May 19,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4.10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00"/>
                  <w:sz w:val="20"/>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Supplemental Indenture relating to Churchill Downs Incorporated’s 4.75% Senior Unsecured Notes due 2028, dated as of October 5,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4.11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00"/>
                  <w:sz w:val="20"/>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Supplemental Indenture relating to Churchill Downs Incorporated’s 4.75% Senior Unsecured Notes due 2028, dated as of October 26,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4.12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00"/>
                  <w:sz w:val="20"/>
                </w:rPr>
                <w:t>4.23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Supplemental Indenture relating to Churchill Downs Incorporated’s 4.75% Senior Unsecured Notes due 2028,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4.13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8"/>
        <w:gridCol w:w="188"/>
        <w:gridCol w:w="195"/>
        <w:gridCol w:w="109"/>
        <w:gridCol w:w="109"/>
        <w:gridCol w:w="109"/>
        <w:gridCol w:w="1853"/>
        <w:gridCol w:w="1841"/>
        <w:gridCol w:w="1858"/>
        <w:gridCol w:w="109"/>
        <w:gridCol w:w="109"/>
        <w:gridCol w:w="109"/>
        <w:gridCol w:w="866"/>
        <w:gridCol w:w="866"/>
        <w:gridCol w:w="869"/>
        <w:gridCol w:w="109"/>
        <w:gridCol w:w="109"/>
        <w:gridCol w:w="157"/>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00"/>
                  <w:sz w:val="20"/>
                </w:rPr>
                <w:t>4.24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Supplemental Indenture relating to Churchill Downs Incorporated’s 4.75% Senior Unsecured Notes due 2028,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4.14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00"/>
                  <w:sz w:val="20"/>
                </w:rPr>
                <w:t>4.25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relating to Churchill Downs Incorporated’s 5.750% Senior Unsecured Notes due 2030,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4.15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00"/>
                  <w:sz w:val="20"/>
                </w:rPr>
                <w:t>4.26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relating to Churchill Downs Incorporated’s 5.750% Senior Unsecured Notes due 2030,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4.16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00"/>
                  <w:sz w:val="20"/>
                </w:rPr>
                <w:t>4.27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relating to Churchill Downs Incorporated’s 5.750% Senior Unsecured Notes due 2030,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4.17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00"/>
                  <w:sz w:val="20"/>
                </w:rPr>
                <w:t>4.28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relating to Churchill Downs Incorporated’s 6.750% Senior Unsecured Notes due 2031,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4.18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Amended and Restated Supplemental Benefit Plan effective December 1, 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10(a) to Annual Report on Form 10-K for the fiscal year ended December 31, 1998 filed March 31, 1999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00"/>
                  <w:sz w:val="20"/>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Amended and Restated Deferred Compensation Plan for Employees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10(a) to Quarterly Report on Form 10-Q for the fiscal quarter ended March 31, 2001 filed May 15, 2001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00"/>
                  <w:sz w:val="20"/>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June 21, 2005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00"/>
                  <w:sz w:val="20"/>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2006 Amendment to 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June 8, 2006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00"/>
                  <w:sz w:val="20"/>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Churchill Downs Incorporated 2005 Deferred Compensation Plan Adopted June 28,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10(b) to Quarterly Report on Form 10-Q for the fiscal quarter ended June 30, 2007 filed August 7, 2007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00"/>
                  <w:sz w:val="20"/>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2005 Churchill Downs Incorporated Deferred Compensation Plan (As Amended as of December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 (ww) to Annual Report on Form 10-K for the fiscal year ended December 31, 2008 filed March 4, 2009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00"/>
                  <w:sz w:val="20"/>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the 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10.2 to Current Report on Form 8-K filed December 19,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00"/>
                  <w:sz w:val="20"/>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Fourth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10.8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00"/>
                  <w:sz w:val="20"/>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Fifth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10.9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00"/>
                  <w:sz w:val="20"/>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Sixth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10.10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00"/>
                  <w:sz w:val="20"/>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Restricted Stock Unit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December 19,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2016 Omnibus Stock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April 29,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9"/>
        <w:gridCol w:w="189"/>
        <w:gridCol w:w="193"/>
        <w:gridCol w:w="109"/>
        <w:gridCol w:w="109"/>
        <w:gridCol w:w="109"/>
        <w:gridCol w:w="1864"/>
        <w:gridCol w:w="1713"/>
        <w:gridCol w:w="1731"/>
        <w:gridCol w:w="109"/>
        <w:gridCol w:w="109"/>
        <w:gridCol w:w="109"/>
        <w:gridCol w:w="947"/>
        <w:gridCol w:w="947"/>
        <w:gridCol w:w="951"/>
        <w:gridCol w:w="109"/>
        <w:gridCol w:w="109"/>
        <w:gridCol w:w="157"/>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Unit Agreement pursuant to the 2016 Omnibus Stock Incentive Plan by and between Churchill Downs Incorporated and each of William C. Carstanjen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November 5,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Agreement pursuant to the 2016 Omnibus Stock Incentive Plan by and between Churchill Downs Incorporated and each of William C. Carstanjen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10.2 to Current Report on Form 8-K filed November 5,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the Churchill Downs Incorporated Amended and Restated Incentive Compensation Plan (1997), effective November 14,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 (vv) to Annual Report on Form 10-K for the fiscal year ended December 31, 2008 filed March 4, 2009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Executive Annual Incentive Plan, effective January 1,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A to Schedule 14A filed May 3, 2012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2022 Executive Annual Incentive Plan, effective as of January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10.1 to Current Report on Form 8-K filed August 4, 2022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Churchill Downs Incorporated Non-Employee Director Restricted Share Units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10(a) to Quarterly Report on Form 10-Q for the fiscal quarter ended June 30, 2016 filed August 3,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80"/>
                  <w:sz w:val="20"/>
                </w:rPr>
                <w:t>10.1</w:t>
              </w:r>
            </w:hyperlink>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Amended and Restated Churchill Downs Incorporated 2000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B to Schedule 14A filed March 29,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80"/>
                  <w:sz w:val="20"/>
                </w:rPr>
                <w:t>10.</w:t>
              </w:r>
            </w:hyperlink>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Senior Vice President, Vice President &amp; Other Key Employee Severance Policy (Amended Effective as of December 1,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10.26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Change in Control, Severance and Indemnity Agreement, dated as of October 30, 2018, by and between Churchill Downs Incorporated and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10.3 to Current Report on Form 8-K filed November 5,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Change in Control, Severance and Indemnity Agreement, dated as of October 30, 2018, by and between Churchill Downs Incorporated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 to Current Report on Form 8-K filed November 5,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Change in Control, Severance and Indemnity Agreement, dated as of July 26, 2022, by and between Churchill Downs Incorporated and Brad Blackwell†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10.32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Agreement, dated as of January 1, 2002, by and between the City of Louisville, Kentucky and Churchill Downs Incorporated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2.1 to Current Report on Form 8-K filed January 6, 2003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Action Settlement Agreement, dated as of July 24, 2020, by and between Kater et al. and Churchill Downs Incorporated et 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10(k) to Annual Report on Form 10-K for the fiscal year ended December 31, 2020 filed February 24,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80"/>
                  <w:sz w:val="20"/>
                </w:rPr>
                <w:t>10.</w:t>
              </w:r>
            </w:hyperlink>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December 27, 2017, by and among Churchill Downs Incorporated, the subsidiary guarantors party thereto, the lenders party thereto,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4.3 to Current Report on Form 8-K filed December 27,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80"/>
                  <w:sz w:val="20"/>
                </w:rPr>
                <w:t>10.2</w:t>
              </w:r>
            </w:hyperlink>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Credit Agreement, dated March 16, 2020, among Churchill Downs Incorporated, the subsidiary guarantors party thereto, the lenders party thereto,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March 16,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80"/>
                  <w:sz w:val="20"/>
                </w:rPr>
                <w:t>10.</w:t>
              </w:r>
            </w:hyperlink>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April 28, 2020, among Churchill Downs Incorporated, the subsidiary guarantors and the lenders party thereto, and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April 29,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9"/>
        <w:gridCol w:w="189"/>
        <w:gridCol w:w="193"/>
        <w:gridCol w:w="109"/>
        <w:gridCol w:w="109"/>
        <w:gridCol w:w="109"/>
        <w:gridCol w:w="2473"/>
        <w:gridCol w:w="1758"/>
        <w:gridCol w:w="1776"/>
        <w:gridCol w:w="109"/>
        <w:gridCol w:w="109"/>
        <w:gridCol w:w="109"/>
        <w:gridCol w:w="715"/>
        <w:gridCol w:w="715"/>
        <w:gridCol w:w="717"/>
        <w:gridCol w:w="109"/>
        <w:gridCol w:w="109"/>
        <w:gridCol w:w="156"/>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rPr>
                <w:t>10.</w:t>
              </w:r>
            </w:hyperlink>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February 1, 2021, among Churchill Downs Incorporated, the subsidiary guarantors and the lenders parties thereto, and JPMorgan Chase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10.2 to Current Report on Form 8-K filed February 2,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Joinder Agreement No. 1, dated March 17, 2021, among Churchill Downs Incorporated, the credit parties thereto, the Lenders party thereto and JPMorgan Chase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March 18,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Amendment to Credit Agreement, dated April 13, 2022, by and among Churchill Downs Incorporated, the credit parties party thereto, the Lenders party thereto and JP Morgan Chase Bank N.A., as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10.01 to Current Report on Form 8-K filed April 14,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80"/>
                  <w:sz w:val="20"/>
                </w:rPr>
                <w:t>10</w:t>
              </w:r>
            </w:hyperlink>
            <w:hyperlink r:id="rId67">
              <w:r>
                <w:rPr>
                  <w:rStyle w:val="InternetLink"/>
                  <w:rFonts w:ascii="Times New Roman;serif" w:hAnsi="Times New Roman;serif"/>
                  <w:b w:val="false"/>
                  <w:color w:val="00008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Credit Agreement, Dated March 20, 2023, by and among Churchill Downs Incorporated, the credit parties party thereto, the Lenders party thereto and JP Morgan Chase Bank N.A., as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10.02 to Quarterly Report on Form 10-Q filed April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Credit Agreement, dated July 3, 2024, by and among Churchill Downs Incorporated, the guarantors party thereto, the lenders party thereto, and JPMorgan Chase Bank, N.A., as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10.01 to Current Report on Form 8-K filed July 3, 2024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Amendment to Credit Agreement, dated February 14, 2025, by and among Churchill Downs Incorporated, the guarantors party thereto, the lenders party thereto, and JPMorgan Chase Bank, N.A., as administrative agent and fronting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10.01 to Current Report on Form 8-K filed February 14,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Churchill Downs Incorporated Non-Employee Director Restricted Stock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10.01 to Quarterly Report on Form 10-Q filed on July 24,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80"/>
                  <w:sz w:val="20"/>
                </w:rPr>
                <w:t>10.</w:t>
              </w:r>
            </w:hyperlink>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Churchill Downs Incorporated 2000 Employee Stock Purchase Plan (Effective, as Amended and Restated,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10.01 to the Quarterly Report on Form 10-Q filed on October 23,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80"/>
                  <w:sz w:val="20"/>
                </w:rPr>
                <w:t>10.3</w:t>
              </w:r>
            </w:hyperlink>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Churchill Downs Incorporated Equity Award Deferral Plan (Effective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10.38 to Annual Report on Form 10-K filed February 20,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00"/>
                  <w:sz w:val="20"/>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2025 Omnibus Stock and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the Current Report on Form 8-K filed April 22,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00"/>
                  <w:sz w:val="20"/>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Insider Trading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19 to Annual Report on Form 10-K filed February 20,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2025.htm">
              <w:r>
                <w:rPr>
                  <w:rStyle w:val="InternetLink"/>
                  <w:rFonts w:ascii="Times New Roman;serif" w:hAnsi="Times New Roman;serif"/>
                  <w:b w:val="false"/>
                  <w:color w:val="000000"/>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025.htm">
              <w:r>
                <w:rPr>
                  <w:rStyle w:val="InternetLink"/>
                  <w:rFonts w:ascii="Times New Roman;serif" w:hAnsi="Times New Roman;serif"/>
                  <w:b w:val="false"/>
                  <w:color w:val="000000"/>
                  <w:sz w:val="20"/>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PricewaterhouseCoopers LLP,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a2025123110k.htm">
              <w:r>
                <w:rPr>
                  <w:rStyle w:val="InternetLink"/>
                  <w:rFonts w:ascii="Times New Roman;serif" w:hAnsi="Times New Roman;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b2025123110k.htm">
              <w:r>
                <w:rPr>
                  <w:rStyle w:val="InternetLink"/>
                  <w:rFonts w:ascii="Times New Roman;serif" w:hAnsi="Times New Roman;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5123110k.htm">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Principal Financial Officer Pursuant to 18 U.S.C. Section 1350, As Adopted Pursuant to Section 906 of the Sarbanes-Oxley Act of 2002 (furnished pursuant to Rule 13a-14(b))***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00"/>
                  <w:sz w:val="20"/>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Policy on Recoupment of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97 to Annual Report on Form 10-K filed February 21,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64"/>
        <w:gridCol w:w="164"/>
        <w:gridCol w:w="168"/>
        <w:gridCol w:w="109"/>
        <w:gridCol w:w="109"/>
        <w:gridCol w:w="109"/>
        <w:gridCol w:w="2259"/>
        <w:gridCol w:w="2256"/>
        <w:gridCol w:w="2261"/>
        <w:gridCol w:w="109"/>
        <w:gridCol w:w="109"/>
        <w:gridCol w:w="109"/>
        <w:gridCol w:w="483"/>
        <w:gridCol w:w="483"/>
        <w:gridCol w:w="485"/>
        <w:gridCol w:w="109"/>
        <w:gridCol w:w="109"/>
        <w:gridCol w:w="158"/>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in inline XBRL and contained in Exhibit 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    Furnished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16.FORM 10-K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the Company's behalf by the undersigned, thereunto duly authorized.</w:t>
      </w:r>
    </w:p>
    <w:tbl>
      <w:tblPr>
        <w:tblW w:w="4061" w:type="dxa"/>
        <w:jc w:val="left"/>
        <w:tblInd w:w="0" w:type="dxa"/>
        <w:tblLayout w:type="fixed"/>
        <w:tblCellMar>
          <w:top w:w="28" w:type="dxa"/>
          <w:left w:w="28" w:type="dxa"/>
          <w:bottom w:w="28" w:type="dxa"/>
          <w:right w:w="28" w:type="dxa"/>
        </w:tblCellMar>
      </w:tblPr>
      <w:tblGrid>
        <w:gridCol w:w="124"/>
        <w:gridCol w:w="109"/>
        <w:gridCol w:w="109"/>
        <w:gridCol w:w="1088"/>
        <w:gridCol w:w="1088"/>
        <w:gridCol w:w="1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034" w:type="dxa"/>
        <w:jc w:val="left"/>
        <w:tblInd w:w="0" w:type="dxa"/>
        <w:tblLayout w:type="fixed"/>
        <w:tblCellMar>
          <w:top w:w="28" w:type="dxa"/>
          <w:left w:w="28" w:type="dxa"/>
          <w:bottom w:w="28" w:type="dxa"/>
          <w:right w:w="28" w:type="dxa"/>
        </w:tblCellMar>
      </w:tblPr>
      <w:tblGrid>
        <w:gridCol w:w="1027"/>
        <w:gridCol w:w="901"/>
        <w:gridCol w:w="907"/>
        <w:gridCol w:w="109"/>
        <w:gridCol w:w="109"/>
        <w:gridCol w:w="109"/>
        <w:gridCol w:w="669"/>
        <w:gridCol w:w="669"/>
        <w:gridCol w:w="672"/>
        <w:gridCol w:w="109"/>
        <w:gridCol w:w="109"/>
        <w:gridCol w:w="109"/>
        <w:gridCol w:w="741"/>
        <w:gridCol w:w="741"/>
        <w:gridCol w:w="1053"/>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and Principal 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Officer)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 Alex Rankin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Karole F. Lloyd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Andréa Carter</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 Alex Rankin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Karole F. Lloyd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Andréa Carter</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C. Varga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C. Grissom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P. Harrington</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C. Varga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C. Grissom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P. Harrington</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SCHEDULE II—VALUATION AND QUALIFYING ACCOUNTS </w:t>
      </w:r>
    </w:p>
    <w:p>
      <w:pPr>
        <w:pStyle w:val="TextBody"/>
        <w:bidi w:val="0"/>
        <w:spacing w:before="0" w:after="0"/>
        <w:jc w:val="left"/>
        <w:rPr/>
      </w:pPr>
      <w:r>
        <w:rPr/>
      </w:r>
    </w:p>
    <w:tbl>
      <w:tblPr>
        <w:tblW w:w="7466" w:type="dxa"/>
        <w:jc w:val="left"/>
        <w:tblInd w:w="0" w:type="dxa"/>
        <w:tblLayout w:type="fixed"/>
        <w:tblCellMar>
          <w:top w:w="28" w:type="dxa"/>
          <w:left w:w="28" w:type="dxa"/>
          <w:bottom w:w="28" w:type="dxa"/>
          <w:right w:w="28" w:type="dxa"/>
        </w:tblCellMar>
      </w:tblPr>
      <w:tblGrid>
        <w:gridCol w:w="851"/>
        <w:gridCol w:w="746"/>
        <w:gridCol w:w="758"/>
        <w:gridCol w:w="283"/>
        <w:gridCol w:w="545"/>
        <w:gridCol w:w="148"/>
        <w:gridCol w:w="109"/>
        <w:gridCol w:w="109"/>
        <w:gridCol w:w="109"/>
        <w:gridCol w:w="109"/>
        <w:gridCol w:w="109"/>
        <w:gridCol w:w="109"/>
        <w:gridCol w:w="109"/>
        <w:gridCol w:w="244"/>
        <w:gridCol w:w="470"/>
        <w:gridCol w:w="127"/>
        <w:gridCol w:w="109"/>
        <w:gridCol w:w="109"/>
        <w:gridCol w:w="109"/>
        <w:gridCol w:w="295"/>
        <w:gridCol w:w="588"/>
        <w:gridCol w:w="153"/>
        <w:gridCol w:w="109"/>
        <w:gridCol w:w="109"/>
        <w:gridCol w:w="109"/>
        <w:gridCol w:w="230"/>
        <w:gridCol w:w="442"/>
        <w:gridCol w:w="169"/>
      </w:tblGrid>
      <w:tr>
        <w:trPr/>
        <w:tc>
          <w:tcPr>
            <w:tcW w:w="8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w:t>
              <w:br/>
              <w:t>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End of</w:t>
              <w:br/>
              <w:t>Year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30" w:type="dxa"/>
        <w:jc w:val="left"/>
        <w:tblInd w:w="0" w:type="dxa"/>
        <w:tblLayout w:type="fixed"/>
        <w:tblCellMar>
          <w:top w:w="28" w:type="dxa"/>
          <w:left w:w="28" w:type="dxa"/>
          <w:bottom w:w="28" w:type="dxa"/>
          <w:right w:w="28" w:type="dxa"/>
        </w:tblCellMar>
      </w:tblPr>
      <w:tblGrid>
        <w:gridCol w:w="1426"/>
        <w:gridCol w:w="1253"/>
        <w:gridCol w:w="1266"/>
        <w:gridCol w:w="283"/>
        <w:gridCol w:w="545"/>
        <w:gridCol w:w="148"/>
        <w:gridCol w:w="109"/>
        <w:gridCol w:w="109"/>
        <w:gridCol w:w="109"/>
        <w:gridCol w:w="232"/>
        <w:gridCol w:w="563"/>
        <w:gridCol w:w="121"/>
        <w:gridCol w:w="109"/>
        <w:gridCol w:w="109"/>
        <w:gridCol w:w="109"/>
        <w:gridCol w:w="295"/>
        <w:gridCol w:w="588"/>
        <w:gridCol w:w="153"/>
        <w:gridCol w:w="109"/>
        <w:gridCol w:w="109"/>
        <w:gridCol w:w="109"/>
        <w:gridCol w:w="211"/>
        <w:gridCol w:w="51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End of</w:t>
              <w:br/>
              <w:t>Year</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 valuation allowance:</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SUBSIDIARIES OF THE REGISTRANT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December 31, 2025 </w:t>
      </w:r>
    </w:p>
    <w:tbl>
      <w:tblPr>
        <w:tblW w:w="10205" w:type="dxa"/>
        <w:jc w:val="center"/>
        <w:tblInd w:w="0" w:type="dxa"/>
        <w:tblLayout w:type="fixed"/>
        <w:tblCellMar>
          <w:top w:w="28" w:type="dxa"/>
          <w:left w:w="28" w:type="dxa"/>
          <w:bottom w:w="28" w:type="dxa"/>
          <w:right w:w="28" w:type="dxa"/>
        </w:tblCellMar>
      </w:tblPr>
      <w:tblGrid>
        <w:gridCol w:w="2719"/>
        <w:gridCol w:w="2349"/>
        <w:gridCol w:w="2371"/>
        <w:gridCol w:w="109"/>
        <w:gridCol w:w="109"/>
        <w:gridCol w:w="109"/>
        <w:gridCol w:w="713"/>
        <w:gridCol w:w="713"/>
        <w:gridCol w:w="1013"/>
      </w:tblGrid>
      <w:tr>
        <w:trPr/>
        <w:tc>
          <w:tcPr>
            <w:tcW w:w="271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State/Jurisdiction of</w:t>
              <w:br/>
              <w:t>Incorporation/Organization</w:t>
            </w:r>
          </w:p>
        </w:tc>
      </w:tr>
      <w:tr>
        <w:trPr/>
        <w:tc>
          <w:tcPr>
            <w:tcW w:w="7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AcesSalem,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Park Racecourse,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 Development, LLC d/b/a Oxford Casino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Maine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BetAmerica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CCRG,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CDIHC,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CDITH,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CDNH,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CEP IV Chicago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Calder Race Course, Inc., d/b/a Calder Casino and Race 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Insurance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Interactive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Interactive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Louisiana Horseracing Company, L.L.C. d/b/a Fair Grounds Race Course &amp; Slots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Louisiana Video Poker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Racetrack,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Technology Initiatives Company d/b/a TwinSpires.com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Colonial Downs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DCGD,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Derby City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Derby City Gaming Downtown,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Kentucky </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Ellis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Exacta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Exacta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HCRH,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KYCR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Kymalimi,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Lago Resort &amp; Casino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Magnolia Hill, LLC d/b/a Riverwalk Casino Hotel,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Miami Valley Gaming &amp; Racing,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Gaming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Gaming &amp;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MVGR,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NKYRG,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 Downs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 Downs Enterprise 589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Bay Gaming and Racing,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Owensboro Racing &amp;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PID, LLC d/b/a Presque Isle Downs &amp; Casino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PPE Casino Resorts NH,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892" w:type="dxa"/>
        <w:jc w:val="center"/>
        <w:tblInd w:w="0" w:type="dxa"/>
        <w:tblLayout w:type="fixed"/>
        <w:tblCellMar>
          <w:top w:w="28" w:type="dxa"/>
          <w:left w:w="28" w:type="dxa"/>
          <w:bottom w:w="28" w:type="dxa"/>
          <w:right w:w="28" w:type="dxa"/>
        </w:tblCellMar>
      </w:tblPr>
      <w:tblGrid>
        <w:gridCol w:w="1625"/>
        <w:gridCol w:w="1426"/>
        <w:gridCol w:w="1433"/>
        <w:gridCol w:w="109"/>
        <w:gridCol w:w="109"/>
        <w:gridCol w:w="109"/>
        <w:gridCol w:w="315"/>
        <w:gridCol w:w="315"/>
        <w:gridCol w:w="451"/>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Quad City Downs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Iowa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Iowa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 Gaming, LLC d/b/a Harlow's Casino Resort &amp;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Tropical Park,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Turfway Park,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Tote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Tote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Montana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Tote Gaming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WKY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Youbet.com,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CONSENT OF INDEPENDENT REGISTERED PUBLIC ACCOUNTING FIRM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333-286714, 333-210943, 333-197102, 333-182929, 333-182928, 333-144192, 333-144191, 333-144182, 333-135360, 333-127057, 333-116734, 333-116733, 333-106310, 333-100574, 333-43486, 333-41376, 333-62013, 033-61111) of Churchill Downs Incorporated of our report dated February 25, 2026 relating to the financial statements, financial statement schedule and the effectiveness of internal control over financial reporting, which appears in this Form 10-K.</w:t>
      </w:r>
    </w:p>
    <w:tbl>
      <w:tblPr>
        <w:tblW w:w="2790" w:type="dxa"/>
        <w:jc w:val="center"/>
        <w:tblInd w:w="0" w:type="dxa"/>
        <w:tblLayout w:type="fixed"/>
        <w:tblCellMar>
          <w:top w:w="28" w:type="dxa"/>
          <w:left w:w="28" w:type="dxa"/>
          <w:bottom w:w="28" w:type="dxa"/>
          <w:right w:w="28" w:type="dxa"/>
        </w:tblCellMar>
      </w:tblPr>
      <w:tblGrid>
        <w:gridCol w:w="890"/>
        <w:gridCol w:w="781"/>
        <w:gridCol w:w="1119"/>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PricewaterhouseCoopers LLP</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 Kentucky</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C. Carstanjen,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46"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Marcia A. Dall,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1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Churchill Downs Incorporated (the “Company”) for the year ended December 31, 2025,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212/000119312522047716/d283637dex21.htm" TargetMode="External"/><Relationship Id="rId4" Type="http://schemas.openxmlformats.org/officeDocument/2006/relationships/hyperlink" Target="https://www.sec.gov/Archives/edgar/data/20212/000119312522238480/d346712dex21.htm" TargetMode="External"/><Relationship Id="rId5" Type="http://schemas.openxmlformats.org/officeDocument/2006/relationships/hyperlink" Target="https://www.sec.gov/Archives/edgar/data/20212/000002021223000078/ex314-25x23.htm" TargetMode="External"/><Relationship Id="rId6" Type="http://schemas.openxmlformats.org/officeDocument/2006/relationships/hyperlink" Target="https://www.sec.gov/Archives/edgar/data/20212/000002021219000004/ex3211719stocksplit.htm" TargetMode="External"/><Relationship Id="rId7" Type="http://schemas.openxmlformats.org/officeDocument/2006/relationships/hyperlink" Target="https://www.sec.gov/Archives/edgar/data/20212/000002021222000144/ex31.htm" TargetMode="External"/><Relationship Id="rId8" Type="http://schemas.openxmlformats.org/officeDocument/2006/relationships/hyperlink" Target="https://www.sec.gov/Archives/edgar/data/20212/000134100408000506/ex4-1.htm" TargetMode="External"/><Relationship Id="rId9" Type="http://schemas.openxmlformats.org/officeDocument/2006/relationships/hyperlink" Target="https://www.sec.gov/Archives/edgar/data/20212/000002021217000054/exhibit4112-27x17indenture.htm" TargetMode="External"/><Relationship Id="rId10" Type="http://schemas.openxmlformats.org/officeDocument/2006/relationships/hyperlink" Target="https://www.sec.gov/Archives/edgar/data/20212/000002021219000019/ex41indenture3-26x19.htm" TargetMode="External"/><Relationship Id="rId11" Type="http://schemas.openxmlformats.org/officeDocument/2006/relationships/hyperlink" Target="https://www.sec.gov/Archives/edgar/data/20212/000119312521084810/d253360dex41.htm" TargetMode="External"/><Relationship Id="rId12" Type="http://schemas.openxmlformats.org/officeDocument/2006/relationships/hyperlink" Target="https://www.sec.gov/Archives/edgar/data/20212/000119312522105035/d278488dex41.htm" TargetMode="External"/><Relationship Id="rId13" Type="http://schemas.openxmlformats.org/officeDocument/2006/relationships/hyperlink" Target="https://www.sec.gov/Archives/edgar/data/20212/000002021217000054/exhibit4212-27x17registrat.htm" TargetMode="External"/><Relationship Id="rId14" Type="http://schemas.openxmlformats.org/officeDocument/2006/relationships/hyperlink" Target="https://www.sec.gov/Archives/edgar/data/20212/000002021219000019/ex42registrationrights3-26.htm" TargetMode="External"/><Relationship Id="rId15" Type="http://schemas.openxmlformats.org/officeDocument/2006/relationships/hyperlink" Target="https://www.sec.gov/Archives/edgar/data/20212/000119312521084810/d253360dex42.htm" TargetMode="External"/><Relationship Id="rId16" Type="http://schemas.openxmlformats.org/officeDocument/2006/relationships/hyperlink" Target="https://www.sec.gov/Archives/edgar/data/20212/000119312522105035/d278488dex42.htm" TargetMode="External"/><Relationship Id="rId17" Type="http://schemas.openxmlformats.org/officeDocument/2006/relationships/hyperlink" Target="https://www.sec.gov/Archives/edgar/data/0000020212/000002021224000055/ex410.htm" TargetMode="External"/><Relationship Id="rId18" Type="http://schemas.openxmlformats.org/officeDocument/2006/relationships/hyperlink" Target="https://www.sec.gov/Archives/edgar/data/20212/000119312523115291/d53603dex41.htm" TargetMode="External"/><Relationship Id="rId19" Type="http://schemas.openxmlformats.org/officeDocument/2006/relationships/hyperlink" Target="https://www.sec.gov/Archives/edgar/data/20212/000119312523115291/d53603dex42.htm" TargetMode="External"/><Relationship Id="rId20" Type="http://schemas.openxmlformats.org/officeDocument/2006/relationships/hyperlink" Target="https://www.sec.gov/Archives/edgar/data/20212/000002021223000115/ex43.htm" TargetMode="External"/><Relationship Id="rId21" Type="http://schemas.openxmlformats.org/officeDocument/2006/relationships/hyperlink" Target="https://www.sec.gov/Archives/edgar/data/20212/000002021223000115/ex44.htm" TargetMode="External"/><Relationship Id="rId22" Type="http://schemas.openxmlformats.org/officeDocument/2006/relationships/hyperlink" Target="https://www.sec.gov/Archives/edgar/data/20212/000002021223000115/ex45.htm" TargetMode="External"/><Relationship Id="rId23" Type="http://schemas.openxmlformats.org/officeDocument/2006/relationships/hyperlink" Target="https://www.sec.gov/Archives/edgar/data/20212/000002021223000115/ex46.htm" TargetMode="External"/><Relationship Id="rId24" Type="http://schemas.openxmlformats.org/officeDocument/2006/relationships/hyperlink" Target="https://www.sec.gov/Archives/edgar/data/20212/000002021223000115/ex47.htm" TargetMode="External"/><Relationship Id="rId25" Type="http://schemas.openxmlformats.org/officeDocument/2006/relationships/hyperlink" Target="https://www.sec.gov/Archives/edgar/data/20212/000002021223000115/ex48.htm" TargetMode="External"/><Relationship Id="rId26" Type="http://schemas.openxmlformats.org/officeDocument/2006/relationships/hyperlink" Target="https://www.sec.gov/Archives/edgar/data/20212/000002021223000115/ex49.htm" TargetMode="External"/><Relationship Id="rId27" Type="http://schemas.openxmlformats.org/officeDocument/2006/relationships/hyperlink" Target="https://www.sec.gov/Archives/edgar/data/20212/000002021223000115/ex410.htm" TargetMode="External"/><Relationship Id="rId28" Type="http://schemas.openxmlformats.org/officeDocument/2006/relationships/hyperlink" Target="https://www.sec.gov/Archives/edgar/data/20212/000002021223000115/ex411.htm" TargetMode="External"/><Relationship Id="rId29" Type="http://schemas.openxmlformats.org/officeDocument/2006/relationships/hyperlink" Target="https://www.sec.gov/Archives/edgar/data/20212/000002021223000115/ex412.htm" TargetMode="External"/><Relationship Id="rId30" Type="http://schemas.openxmlformats.org/officeDocument/2006/relationships/hyperlink" Target="https://www.sec.gov/Archives/edgar/data/20212/000002021223000115/ex413.htm" TargetMode="External"/><Relationship Id="rId31" Type="http://schemas.openxmlformats.org/officeDocument/2006/relationships/hyperlink" Target="https://www.sec.gov/Archives/edgar/data/20212/000002021223000115/ex414.htm" TargetMode="External"/><Relationship Id="rId32" Type="http://schemas.openxmlformats.org/officeDocument/2006/relationships/hyperlink" Target="https://www.sec.gov/Archives/edgar/data/20212/000002021223000115/ex415.htm" TargetMode="External"/><Relationship Id="rId33" Type="http://schemas.openxmlformats.org/officeDocument/2006/relationships/hyperlink" Target="https://www.sec.gov/Archives/edgar/data/20212/000002021223000115/ex416.htm" TargetMode="External"/><Relationship Id="rId34" Type="http://schemas.openxmlformats.org/officeDocument/2006/relationships/hyperlink" Target="https://www.sec.gov/Archives/edgar/data/20212/000002021223000115/ex417.htm" TargetMode="External"/><Relationship Id="rId35" Type="http://schemas.openxmlformats.org/officeDocument/2006/relationships/hyperlink" Target="https://www.sec.gov/Archives/edgar/data/20212/000002021223000115/ex418.htm" TargetMode="External"/><Relationship Id="rId36" Type="http://schemas.openxmlformats.org/officeDocument/2006/relationships/hyperlink" Target="https://www.sec.gov/Archives/edgar/data/20212/000002021201500006/dcplan.txt" TargetMode="External"/><Relationship Id="rId37" Type="http://schemas.openxmlformats.org/officeDocument/2006/relationships/hyperlink" Target="https://www.sec.gov/Archives/edgar/data/20212/000002021205000008/deferredcomp2005.htm" TargetMode="External"/><Relationship Id="rId38" Type="http://schemas.openxmlformats.org/officeDocument/2006/relationships/hyperlink" Target="https://www.sec.gov/Archives/edgar/data/20212/000002021206000034/exhibit101060206.htm" TargetMode="External"/><Relationship Id="rId39" Type="http://schemas.openxmlformats.org/officeDocument/2006/relationships/hyperlink" Target="https://www.sec.gov/Archives/edgar/data/20212/000110465907059769/a07-19291_1ex10db.htm" TargetMode="External"/><Relationship Id="rId40" Type="http://schemas.openxmlformats.org/officeDocument/2006/relationships/hyperlink" Target="https://www.sec.gov/Archives/edgar/data/20212/000119312509044931/dex10ww.htm" TargetMode="External"/><Relationship Id="rId41" Type="http://schemas.openxmlformats.org/officeDocument/2006/relationships/hyperlink" Target="https://www.sec.gov/Archives/edgar/data/20212/000002021219000066/exhibit102thirdamendme.htm" TargetMode="External"/><Relationship Id="rId42" Type="http://schemas.openxmlformats.org/officeDocument/2006/relationships/hyperlink" Target="https://www.sec.gov/Archives/edgar/data/20212/000002021223000059/ex108.htm" TargetMode="External"/><Relationship Id="rId43" Type="http://schemas.openxmlformats.org/officeDocument/2006/relationships/hyperlink" Target="https://www.sec.gov/Archives/edgar/data/20212/000002021223000059/ex109.htm" TargetMode="External"/><Relationship Id="rId44" Type="http://schemas.openxmlformats.org/officeDocument/2006/relationships/hyperlink" Target="https://www.sec.gov/Archives/edgar/data/20212/000002021223000059/ex1010.htm" TargetMode="External"/><Relationship Id="rId45" Type="http://schemas.openxmlformats.org/officeDocument/2006/relationships/hyperlink" Target="https://www.sec.gov/ix?doc=/Archives/edgar/data/0000020212/000002021219000066/exhibit101cdirsudeferr.htm" TargetMode="External"/><Relationship Id="rId46" Type="http://schemas.openxmlformats.org/officeDocument/2006/relationships/hyperlink" Target="https://www.sec.gov/Archives/edgar/data/20212/000002021216000077/exhibit1014-29x16.htm" TargetMode="External"/><Relationship Id="rId47" Type="http://schemas.openxmlformats.org/officeDocument/2006/relationships/hyperlink" Target="https://www.sec.gov/Archives/edgar/data/20212/000002021218000046/ex101formofperformanceshar.htm" TargetMode="External"/><Relationship Id="rId48" Type="http://schemas.openxmlformats.org/officeDocument/2006/relationships/hyperlink" Target="https://www.sec.gov/Archives/edgar/data/20212/000002021218000046/ex102formofrestrictedstock.htm" TargetMode="External"/><Relationship Id="rId49" Type="http://schemas.openxmlformats.org/officeDocument/2006/relationships/hyperlink" Target="https://www.sec.gov/Archives/edgar/data/20212/000119312509044931/dex10vv.htm" TargetMode="External"/><Relationship Id="rId50" Type="http://schemas.openxmlformats.org/officeDocument/2006/relationships/hyperlink" Target="https://www.sec.gov/Archives/edgar/data/20212/000119312512208679/d269552ddef14a.htm" TargetMode="External"/><Relationship Id="rId51" Type="http://schemas.openxmlformats.org/officeDocument/2006/relationships/hyperlink" Target="https://www.sec.gov/Archives/edgar/data/20212/000002021222000130/a8-4x22ex101.htm" TargetMode="External"/><Relationship Id="rId52" Type="http://schemas.openxmlformats.org/officeDocument/2006/relationships/hyperlink" Target="https://www.sec.gov/Archives/edgar/data/20212/000002021216000086/exhibit10a2016610q.htm" TargetMode="External"/><Relationship Id="rId53" Type="http://schemas.openxmlformats.org/officeDocument/2006/relationships/hyperlink" Target="https://www.sec.gov/Archives/edgar/data/20212/000119312516520570/d12760ddef14a.htm" TargetMode="External"/><Relationship Id="rId54" Type="http://schemas.openxmlformats.org/officeDocument/2006/relationships/hyperlink" Target="https://www.sec.gov/Archives/edgar/data/20212/000002021223000059/ex1026.htm" TargetMode="External"/><Relationship Id="rId55" Type="http://schemas.openxmlformats.org/officeDocument/2006/relationships/hyperlink" Target="https://www.sec.gov/Archives/edgar/data/20212/000002021218000046/ex103changeinctrlseverance.htm" TargetMode="External"/><Relationship Id="rId56" Type="http://schemas.openxmlformats.org/officeDocument/2006/relationships/hyperlink" Target="https://www.sec.gov/Archives/edgar/data/20212/000002021218000046/ex104changeinctrlseverance.htm" TargetMode="External"/><Relationship Id="rId57" Type="http://schemas.openxmlformats.org/officeDocument/2006/relationships/hyperlink" Target="https://www.sec.gov/Archives/edgar/data/20212/000002021223000059/ex1032.htm" TargetMode="External"/><Relationship Id="rId58" Type="http://schemas.openxmlformats.org/officeDocument/2006/relationships/hyperlink" Target="https://www.sec.gov/Archives/edgar/data/20212/000094039703000004/cddeclseexh.txt" TargetMode="External"/><Relationship Id="rId59" Type="http://schemas.openxmlformats.org/officeDocument/2006/relationships/hyperlink" Target="https://www.sec.gov/Archives/edgar/data/20212/000002021221000019/exhibitkkaterlitigationset.htm" TargetMode="External"/><Relationship Id="rId60" Type="http://schemas.openxmlformats.org/officeDocument/2006/relationships/hyperlink" Target="https://www.sec.gov/Archives/edgar/data/20212/000002021217000054/exhibit4312-27x17creditagr.htm" TargetMode="External"/><Relationship Id="rId61" Type="http://schemas.openxmlformats.org/officeDocument/2006/relationships/hyperlink" Target="https://www.sec.gov/Archives/edgar/data/20212/000002021220000025/exhibit101cdiamendment.htm" TargetMode="External"/><Relationship Id="rId62" Type="http://schemas.openxmlformats.org/officeDocument/2006/relationships/hyperlink" Target="https://www.sec.gov/Archives/edgar/data/20212/000002021220000052/ex101secondamendmentto.htm" TargetMode="External"/><Relationship Id="rId63" Type="http://schemas.openxmlformats.org/officeDocument/2006/relationships/hyperlink" Target="https://www.sec.gov/Archives/edgar/data/20212/000002021221000007/ex102thirdamendmenttocredi.htm" TargetMode="External"/><Relationship Id="rId64" Type="http://schemas.openxmlformats.org/officeDocument/2006/relationships/hyperlink" Target="https://www.sec.gov/Archives/edgar/data/20212/000119312521084810/d253360dex101.htm" TargetMode="External"/><Relationship Id="rId65" Type="http://schemas.openxmlformats.org/officeDocument/2006/relationships/hyperlink" Target="https://www.sec.gov/Archives/edgar/data/20212/000119312522105035/d278488dex1001.htm" TargetMode="External"/><Relationship Id="rId66" Type="http://schemas.openxmlformats.org/officeDocument/2006/relationships/hyperlink" Target="https://www.sec.gov/Archives/edgar/data/20212/000002021223000084/ex1002.htm" TargetMode="External"/><Relationship Id="rId67" Type="http://schemas.openxmlformats.org/officeDocument/2006/relationships/hyperlink" Target="https://www.sec.gov/Archives/edgar/data/20212/000002021223000084/ex1002.htm" TargetMode="External"/><Relationship Id="rId68" Type="http://schemas.openxmlformats.org/officeDocument/2006/relationships/hyperlink" Target="https://www.sec.gov/Archives/edgar/data/0000020212/000119312524175054/d858296dex1001.htm" TargetMode="External"/><Relationship Id="rId69" Type="http://schemas.openxmlformats.org/officeDocument/2006/relationships/hyperlink" Target="https://www.sec.gov/Archives/edgar/data/0000020212/000119312525027242/d916166dex1001.htm" TargetMode="External"/><Relationship Id="rId70" Type="http://schemas.openxmlformats.org/officeDocument/2006/relationships/hyperlink" Target="https://www.sec.gov/Archives/edgar/data/0000020212/000002021224000105/ex1001.htm" TargetMode="External"/><Relationship Id="rId71" Type="http://schemas.openxmlformats.org/officeDocument/2006/relationships/hyperlink" Target="https://www.sec.gov/Archives/edgar/data/20212/000002021224000116/ex1001.htm" TargetMode="External"/><Relationship Id="rId72" Type="http://schemas.openxmlformats.org/officeDocument/2006/relationships/hyperlink" Target="https://www.sec.gov/Archives/edgar/data/20212/000002021225000051/ex1038.htm" TargetMode="External"/><Relationship Id="rId73" Type="http://schemas.openxmlformats.org/officeDocument/2006/relationships/hyperlink" Target="https://www.sec.gov/Archives/edgar/data/20212/000002021225000062/ex101.htm" TargetMode="External"/><Relationship Id="rId74" Type="http://schemas.openxmlformats.org/officeDocument/2006/relationships/hyperlink" Target="https://www.sec.gov/Archives/edgar/data/20212/000002021225000051/ex19.htm" TargetMode="External"/><Relationship Id="rId75" Type="http://schemas.openxmlformats.org/officeDocument/2006/relationships/hyperlink" Target="https://www.sec.gov/Archives/edgar/data/0000020212/000002021224000055/ex97.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54335</Words>
  <Characters>304290</Characters>
  <CharactersWithSpaces>355458</CharactersWithSpaces>
  <Paragraphs>5254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