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227330</wp:posOffset>
            </wp:positionH>
            <wp:positionV relativeFrom="page">
              <wp:posOffset>688340</wp:posOffset>
            </wp:positionV>
            <wp:extent cx="70942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4220" cy="6985"/>
                    </a:xfrm>
                    <a:prstGeom prst="rect">
                      <a:avLst/>
                    </a:prstGeom>
                    <a:noFill/>
                  </pic:spPr>
                </pic:pic>
              </a:graphicData>
            </a:graphic>
          </wp:anchor>
        </w:drawing>
        <w:t>UNITED STATES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20" w:hanging="448"/>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 the quarterly period ended September 30, 2024</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39" w:lineRule="exact"/>
        <w:rPr>
          <w:sz w:val="24"/>
          <w:szCs w:val="24"/>
          <w:color w:val="auto"/>
        </w:rPr>
      </w:pPr>
    </w:p>
    <w:p>
      <w:pPr>
        <w:ind w:left="520" w:hanging="448"/>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1"/>
              </w:rPr>
              <w:t>to</w:t>
            </w:r>
          </w:p>
        </w:tc>
        <w:tc>
          <w:tcPr>
            <w:tcW w:w="420" w:type="dxa"/>
            <w:vAlign w:val="bottom"/>
            <w:tcBorders>
              <w:bottom w:val="single" w:sz="8" w:color="auto"/>
            </w:tcBorders>
            <w:gridSpan w:val="2"/>
          </w:tcPr>
          <w:p>
            <w:pPr>
              <w:spacing w:after="0"/>
              <w:rPr>
                <w:sz w:val="13"/>
                <w:szCs w:val="13"/>
                <w:color w:val="auto"/>
              </w:rPr>
            </w:pPr>
          </w:p>
        </w:tc>
        <w:tc>
          <w:tcPr>
            <w:tcW w:w="4300" w:type="dxa"/>
            <w:vAlign w:val="bottom"/>
          </w:tcPr>
          <w:p>
            <w:pPr>
              <w:spacing w:after="0"/>
              <w:rPr>
                <w:sz w:val="13"/>
                <w:szCs w:val="13"/>
                <w:color w:val="auto"/>
              </w:rPr>
            </w:pPr>
          </w:p>
        </w:tc>
      </w:tr>
      <w:tr>
        <w:trPr>
          <w:trHeight w:val="181"/>
        </w:trPr>
        <w:tc>
          <w:tcPr>
            <w:tcW w:w="3860" w:type="dxa"/>
            <w:vAlign w:val="bottom"/>
          </w:tcPr>
          <w:p>
            <w:pPr>
              <w:spacing w:after="0"/>
              <w:rPr>
                <w:sz w:val="15"/>
                <w:szCs w:val="15"/>
                <w:color w:val="auto"/>
              </w:rPr>
            </w:pPr>
          </w:p>
        </w:tc>
        <w:tc>
          <w:tcPr>
            <w:tcW w:w="7440" w:type="dxa"/>
            <w:vAlign w:val="bottom"/>
            <w:gridSpan w:val="6"/>
          </w:tcPr>
          <w:p>
            <w:pPr>
              <w:jc w:val="center"/>
              <w:ind w:right="3789"/>
              <w:spacing w:after="0"/>
              <w:rPr>
                <w:sz w:val="20"/>
                <w:szCs w:val="20"/>
                <w:color w:val="auto"/>
              </w:rPr>
            </w:pPr>
            <w:r>
              <w:rPr>
                <w:rFonts w:ascii="Times New Roman" w:cs="Times New Roman" w:eastAsia="Times New Roman" w:hAnsi="Times New Roman"/>
                <w:sz w:val="14"/>
                <w:szCs w:val="14"/>
                <w:color w:val="auto"/>
              </w:rPr>
              <w:t>Commission file number 001-33998</w:t>
            </w:r>
          </w:p>
        </w:tc>
      </w:tr>
      <w:tr>
        <w:trPr>
          <w:trHeight w:val="463"/>
        </w:trPr>
        <w:tc>
          <w:tcPr>
            <w:tcW w:w="11300" w:type="dxa"/>
            <w:vAlign w:val="bottom"/>
            <w:gridSpan w:val="7"/>
          </w:tcPr>
          <w:p>
            <w:pPr>
              <w:jc w:val="center"/>
              <w:spacing w:after="0"/>
              <w:rPr>
                <w:sz w:val="20"/>
                <w:szCs w:val="20"/>
                <w:color w:val="auto"/>
              </w:rPr>
            </w:pPr>
            <w:r>
              <w:rPr>
                <w:rFonts w:ascii="Times New Roman" w:cs="Times New Roman" w:eastAsia="Times New Roman" w:hAnsi="Times New Roman"/>
                <w:sz w:val="34"/>
                <w:szCs w:val="34"/>
                <w:b w:val="1"/>
                <w:bCs w:val="1"/>
                <w:color w:val="auto"/>
                <w:w w:val="99"/>
              </w:rPr>
              <w:t>Churchill Downs Incorporated</w:t>
            </w:r>
          </w:p>
        </w:tc>
      </w:tr>
      <w:tr>
        <w:trPr>
          <w:trHeight w:val="205"/>
        </w:trPr>
        <w:tc>
          <w:tcPr>
            <w:tcW w:w="3860" w:type="dxa"/>
            <w:vAlign w:val="bottom"/>
          </w:tcPr>
          <w:p>
            <w:pPr>
              <w:spacing w:after="0"/>
              <w:rPr>
                <w:sz w:val="17"/>
                <w:szCs w:val="17"/>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02"/>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w w:val="99"/>
              </w:rPr>
              <w:t>Kentucky</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80" w:type="dxa"/>
            <w:vAlign w:val="bottom"/>
            <w:gridSpan w:val="4"/>
          </w:tcPr>
          <w:p>
            <w:pPr>
              <w:jc w:val="right"/>
              <w:ind w:right="1789"/>
              <w:spacing w:after="0"/>
              <w:rPr>
                <w:sz w:val="20"/>
                <w:szCs w:val="20"/>
                <w:color w:val="auto"/>
              </w:rPr>
            </w:pPr>
            <w:r>
              <w:rPr>
                <w:rFonts w:ascii="Times New Roman" w:cs="Times New Roman" w:eastAsia="Times New Roman" w:hAnsi="Times New Roman"/>
                <w:sz w:val="14"/>
                <w:szCs w:val="14"/>
                <w:b w:val="1"/>
                <w:bCs w:val="1"/>
                <w:color w:val="auto"/>
              </w:rPr>
              <w:t>61-0156015</w:t>
            </w:r>
          </w:p>
        </w:tc>
      </w:tr>
      <w:tr>
        <w:trPr>
          <w:trHeight w:val="202"/>
        </w:trPr>
        <w:tc>
          <w:tcPr>
            <w:tcW w:w="642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600 North Hurstbourne Parkway, Suite 400</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19"/>
        </w:trPr>
        <w:tc>
          <w:tcPr>
            <w:tcW w:w="3860" w:type="dxa"/>
            <w:vAlign w:val="bottom"/>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Louisville, Kentucky</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80" w:type="dxa"/>
            <w:vAlign w:val="bottom"/>
            <w:gridSpan w:val="4"/>
          </w:tcPr>
          <w:p>
            <w:pPr>
              <w:jc w:val="right"/>
              <w:ind w:right="1949"/>
              <w:spacing w:after="0"/>
              <w:rPr>
                <w:sz w:val="20"/>
                <w:szCs w:val="20"/>
                <w:color w:val="auto"/>
              </w:rPr>
            </w:pPr>
            <w:r>
              <w:rPr>
                <w:rFonts w:ascii="Times New Roman" w:cs="Times New Roman" w:eastAsia="Times New Roman" w:hAnsi="Times New Roman"/>
                <w:sz w:val="14"/>
                <w:szCs w:val="14"/>
                <w:b w:val="1"/>
                <w:bCs w:val="1"/>
                <w:color w:val="auto"/>
              </w:rPr>
              <w:t>40222</w:t>
            </w:r>
          </w:p>
        </w:tc>
      </w:tr>
      <w:tr>
        <w:trPr>
          <w:trHeight w:val="18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3860" w:type="dxa"/>
            <w:vAlign w:val="bottom"/>
          </w:tcPr>
          <w:p>
            <w:pPr>
              <w:spacing w:after="0"/>
              <w:rPr>
                <w:sz w:val="24"/>
                <w:szCs w:val="24"/>
                <w:color w:val="auto"/>
              </w:rPr>
            </w:pPr>
          </w:p>
        </w:tc>
        <w:tc>
          <w:tcPr>
            <w:tcW w:w="256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(502) 636-4400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4"/>
        </w:trPr>
        <w:tc>
          <w:tcPr>
            <w:tcW w:w="3860" w:type="dxa"/>
            <w:vAlign w:val="bottom"/>
          </w:tcPr>
          <w:p>
            <w:pPr>
              <w:spacing w:after="0"/>
              <w:rPr>
                <w:sz w:val="16"/>
                <w:szCs w:val="16"/>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4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Trading Symbol(s)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No Par Value</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CHDN</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1"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1"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75" w:lineRule="exact"/>
        <w:rPr>
          <w:sz w:val="24"/>
          <w:szCs w:val="24"/>
          <w:color w:val="auto"/>
        </w:rPr>
      </w:pPr>
    </w:p>
    <w:p>
      <w:pPr>
        <w:ind w:right="2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2" w:lineRule="exact"/>
        <w:rPr>
          <w:sz w:val="24"/>
          <w:szCs w:val="24"/>
          <w:color w:val="auto"/>
        </w:rPr>
      </w:pPr>
    </w:p>
    <w:p>
      <w:pPr>
        <w:ind w:right="474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outstanding of registrant’s common stock at October 16, 2024 was 73,496,741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549275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94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4220" cy="698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 September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tcPr>
          <w:p>
            <w:pPr>
              <w:spacing w:after="0"/>
              <w:rPr>
                <w:sz w:val="13"/>
                <w:szCs w:val="13"/>
                <w:color w:val="auto"/>
              </w:rPr>
            </w:pPr>
          </w:p>
        </w:tc>
        <w:tc>
          <w:tcPr>
            <w:tcW w:w="2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Financial Statements (Unaudited)</w:t>
            </w:r>
          </w:p>
        </w:tc>
        <w:tc>
          <w:tcPr>
            <w:tcW w:w="5120" w:type="dxa"/>
            <w:vAlign w:val="bottom"/>
            <w:gridSpan w:val="7"/>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Condensed Consolidated Statements of Comprehensive Income for the three and nine months ended September 30, 2024 and 2023</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Condensed Consolidated Balance Sheets at September 30, 2024 and December 31, 2023</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Condensed Consolidated Statements of Shareholders' Equity for the three and nine months ended September 30, 2024 and 2023</w:t>
            </w:r>
          </w:p>
        </w:tc>
        <w:tc>
          <w:tcPr>
            <w:tcW w:w="160" w:type="dxa"/>
            <w:vAlign w:val="bottom"/>
          </w:tcPr>
          <w:p>
            <w:pPr>
              <w:spacing w:after="0"/>
              <w:rPr>
                <w:sz w:val="13"/>
                <w:szCs w:val="13"/>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Condensed Consolidated Statements of Cash Flows for the nine months ended September 30, 2024 and 2023</w:t>
            </w:r>
          </w:p>
        </w:tc>
        <w:tc>
          <w:tcPr>
            <w:tcW w:w="160" w:type="dxa"/>
            <w:vAlign w:val="bottom"/>
          </w:tcPr>
          <w:p>
            <w:pPr>
              <w:spacing w:after="0"/>
              <w:rPr>
                <w:sz w:val="13"/>
                <w:szCs w:val="13"/>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tc>
        <w:tc>
          <w:tcPr>
            <w:tcW w:w="1240" w:type="dxa"/>
            <w:vAlign w:val="bottom"/>
            <w:gridSpan w:val="2"/>
          </w:tcPr>
          <w:p>
            <w:pPr>
              <w:spacing w:after="0"/>
              <w:rPr>
                <w:sz w:val="13"/>
                <w:szCs w:val="13"/>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580" w:type="dxa"/>
            <w:vAlign w:val="bottom"/>
          </w:tcPr>
          <w:p>
            <w:pPr>
              <w:spacing w:after="0"/>
              <w:rPr>
                <w:sz w:val="13"/>
                <w:szCs w:val="13"/>
                <w:color w:val="auto"/>
              </w:rPr>
            </w:pPr>
          </w:p>
        </w:tc>
        <w:tc>
          <w:tcPr>
            <w:tcW w:w="74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tcBorders>
              <w:bottom w:val="single" w:sz="8" w:color="auto"/>
            </w:tcBorders>
          </w:tcPr>
          <w:p>
            <w:pPr>
              <w:spacing w:after="0"/>
              <w:rPr>
                <w:sz w:val="13"/>
                <w:szCs w:val="13"/>
                <w:color w:val="auto"/>
              </w:rPr>
            </w:pPr>
          </w:p>
        </w:tc>
        <w:tc>
          <w:tcPr>
            <w:tcW w:w="34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20" w:type="dxa"/>
            <w:vAlign w:val="bottom"/>
            <w:tcBorders>
              <w:top w:val="single" w:sz="8" w:color="auto"/>
            </w:tcBorders>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6000" w:type="dxa"/>
            <w:vAlign w:val="bottom"/>
            <w:gridSpan w:val="9"/>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4720" w:type="dxa"/>
            <w:vAlign w:val="bottom"/>
            <w:gridSpan w:val="2"/>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gridSpan w:val="2"/>
          </w:tcPr>
          <w:p>
            <w:pPr>
              <w:spacing w:after="0"/>
              <w:rPr>
                <w:sz w:val="13"/>
                <w:szCs w:val="13"/>
                <w:color w:val="auto"/>
              </w:rPr>
            </w:pPr>
          </w:p>
        </w:tc>
        <w:tc>
          <w:tcPr>
            <w:tcW w:w="1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5720" w:type="dxa"/>
            <w:vAlign w:val="bottom"/>
            <w:gridSpan w:val="5"/>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40</w:t>
            </w:r>
          </w:p>
        </w:tc>
      </w:tr>
      <w:tr>
        <w:trPr>
          <w:trHeight w:val="160"/>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gridSpan w:val="2"/>
          </w:tcPr>
          <w:p>
            <w:pPr>
              <w:spacing w:after="0"/>
              <w:rPr>
                <w:sz w:val="13"/>
                <w:szCs w:val="13"/>
                <w:color w:val="auto"/>
              </w:rPr>
            </w:pPr>
          </w:p>
        </w:tc>
        <w:tc>
          <w:tcPr>
            <w:tcW w:w="184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580" w:type="dxa"/>
            <w:vAlign w:val="bottom"/>
            <w:tcBorders>
              <w:top w:val="single" w:sz="8" w:color="auto"/>
            </w:tcBorders>
            <w:gridSpan w:val="2"/>
          </w:tcPr>
          <w:p>
            <w:pPr>
              <w:spacing w:after="0"/>
              <w:rPr>
                <w:sz w:val="13"/>
                <w:szCs w:val="13"/>
                <w:color w:val="auto"/>
              </w:rPr>
            </w:pPr>
          </w:p>
        </w:tc>
        <w:tc>
          <w:tcPr>
            <w:tcW w:w="33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40</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gridSpan w:val="2"/>
          </w:tcPr>
          <w:p>
            <w:pPr>
              <w:spacing w:after="0"/>
              <w:rPr>
                <w:sz w:val="13"/>
                <w:szCs w:val="13"/>
                <w:color w:val="auto"/>
              </w:rPr>
            </w:pPr>
          </w:p>
        </w:tc>
        <w:tc>
          <w:tcPr>
            <w:tcW w:w="1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5380" w:type="dxa"/>
            <w:vAlign w:val="bottom"/>
            <w:gridSpan w:val="4"/>
          </w:tcPr>
          <w:p>
            <w:pPr>
              <w:spacing w:after="0"/>
              <w:rPr>
                <w:sz w:val="13"/>
                <w:szCs w:val="13"/>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5.</w:t>
            </w:r>
          </w:p>
        </w:tc>
        <w:tc>
          <w:tcPr>
            <w:tcW w:w="580" w:type="dxa"/>
            <w:vAlign w:val="bottom"/>
            <w:gridSpan w:val="2"/>
          </w:tcPr>
          <w:p>
            <w:pPr>
              <w:spacing w:after="0"/>
              <w:rPr>
                <w:sz w:val="13"/>
                <w:szCs w:val="13"/>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9"/>
              </w:rPr>
              <w:t>Other Information</w:t>
            </w:r>
          </w:p>
        </w:tc>
        <w:tc>
          <w:tcPr>
            <w:tcW w:w="5740" w:type="dxa"/>
            <w:vAlign w:val="bottom"/>
            <w:gridSpan w:val="6"/>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40</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6.</w:t>
            </w:r>
          </w:p>
        </w:tc>
        <w:tc>
          <w:tcPr>
            <w:tcW w:w="580" w:type="dxa"/>
            <w:vAlign w:val="bottom"/>
            <w:gridSpan w:val="2"/>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Exhibits</w:t>
            </w:r>
          </w:p>
        </w:tc>
        <w:tc>
          <w:tcPr>
            <w:tcW w:w="6300" w:type="dxa"/>
            <w:vAlign w:val="bottom"/>
            <w:gridSpan w:val="9"/>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41</w:t>
            </w:r>
          </w:p>
        </w:tc>
      </w:tr>
      <w:tr>
        <w:trPr>
          <w:trHeight w:val="160"/>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Signatures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222250</wp:posOffset>
            </wp:positionV>
            <wp:extent cx="71278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80" w:type="dxa"/>
            <w:vAlign w:val="bottom"/>
            <w:gridSpan w:val="5"/>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7880" w:type="dxa"/>
            <w:vAlign w:val="bottom"/>
            <w:gridSpan w:val="9"/>
          </w:tcPr>
          <w:p>
            <w:pPr>
              <w:jc w:val="center"/>
              <w:ind w:left="208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Pr>
          <w:p>
            <w:pPr>
              <w:spacing w:after="0"/>
              <w:rPr>
                <w:sz w:val="16"/>
                <w:szCs w:val="16"/>
                <w:color w:val="auto"/>
              </w:rPr>
            </w:pPr>
          </w:p>
        </w:tc>
        <w:tc>
          <w:tcPr>
            <w:tcW w:w="2660" w:type="dxa"/>
            <w:vAlign w:val="bottom"/>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1"/>
                <w:szCs w:val="11"/>
                <w:i w:val="1"/>
                <w:iCs w:val="1"/>
                <w:color w:val="auto"/>
              </w:rPr>
              <w:t>(in millions, except per common share data)</w:t>
            </w:r>
          </w:p>
        </w:tc>
        <w:tc>
          <w:tcPr>
            <w:tcW w:w="1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8"/>
        </w:trPr>
        <w:tc>
          <w:tcPr>
            <w:tcW w:w="394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TwinSpires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Gaming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740.2</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All Other</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net revenue</w:t>
            </w:r>
          </w:p>
        </w:tc>
        <w:tc>
          <w:tcPr>
            <w:tcW w:w="1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628.5</w:t>
            </w: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572.5</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2,110.1</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Operating expense: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505.7</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TwinSpires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Gaming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528.3</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All Other</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Asset impairments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Transaction expense, net</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502.6</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1,527.9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1,442.7</w:t>
            </w:r>
          </w:p>
        </w:tc>
        <w:tc>
          <w:tcPr>
            <w:tcW w:w="0" w:type="dxa"/>
            <w:vAlign w:val="bottom"/>
          </w:tcPr>
          <w:p>
            <w:pPr>
              <w:spacing w:after="0"/>
              <w:rPr>
                <w:sz w:val="1"/>
                <w:szCs w:val="1"/>
                <w:color w:val="auto"/>
              </w:rPr>
            </w:pPr>
          </w:p>
        </w:tc>
      </w:tr>
      <w:tr>
        <w:trPr>
          <w:trHeight w:val="16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457.8</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Interest expense, net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Gain on sale of Arlington</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Miscellaneous, net</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Income from operations before provision for income taxes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Income tax provision</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0" w:type="dxa"/>
            <w:vAlign w:val="bottom"/>
          </w:tcPr>
          <w:p>
            <w:pPr>
              <w:spacing w:after="0"/>
              <w:rPr>
                <w:sz w:val="1"/>
                <w:szCs w:val="1"/>
                <w:color w:val="auto"/>
              </w:rPr>
            </w:pPr>
          </w:p>
        </w:tc>
      </w:tr>
      <w:tr>
        <w:trPr>
          <w:trHeight w:val="17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w:t>
            </w:r>
          </w:p>
        </w:tc>
        <w:tc>
          <w:tcPr>
            <w:tcW w:w="1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0" w:type="dxa"/>
            <w:vAlign w:val="bottom"/>
          </w:tcPr>
          <w:p>
            <w:pPr>
              <w:spacing w:after="0"/>
              <w:rPr>
                <w:sz w:val="1"/>
                <w:szCs w:val="1"/>
                <w:color w:val="auto"/>
              </w:rPr>
            </w:pPr>
          </w:p>
        </w:tc>
      </w:tr>
      <w:tr>
        <w:trPr>
          <w:trHeight w:val="20"/>
        </w:trPr>
        <w:tc>
          <w:tcPr>
            <w:tcW w:w="51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 per common share data:</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Basic net income</w:t>
            </w:r>
          </w:p>
        </w:tc>
        <w:tc>
          <w:tcPr>
            <w:tcW w:w="1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0.87</w:t>
            </w: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Diluted net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0.86</w:t>
            </w:r>
          </w:p>
        </w:tc>
        <w:tc>
          <w:tcPr>
            <w:tcW w:w="8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Basic</w:t>
            </w:r>
          </w:p>
        </w:tc>
        <w:tc>
          <w:tcPr>
            <w:tcW w:w="3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0" w:type="dxa"/>
            <w:vAlign w:val="bottom"/>
          </w:tcPr>
          <w:p>
            <w:pPr>
              <w:spacing w:after="0"/>
              <w:rPr>
                <w:sz w:val="1"/>
                <w:szCs w:val="1"/>
                <w:color w:val="auto"/>
              </w:rPr>
            </w:pPr>
          </w:p>
        </w:tc>
      </w:tr>
      <w:tr>
        <w:trPr>
          <w:trHeight w:val="170"/>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109220</wp:posOffset>
            </wp:positionV>
            <wp:extent cx="71278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02" w:right="4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7"/>
        </w:trPr>
        <w:tc>
          <w:tcPr>
            <w:tcW w:w="7260" w:type="dxa"/>
            <w:vAlign w:val="bottom"/>
          </w:tcPr>
          <w:p>
            <w:pPr>
              <w:ind w:left="336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Pr>
          <w:p>
            <w:pPr>
              <w:spacing w:after="0"/>
              <w:rPr>
                <w:sz w:val="15"/>
                <w:szCs w:val="15"/>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and advances to unconsolidated affiliates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2,418.4</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deferred revenue</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payable</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67"/>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maturities and loan origination fees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net of debt issuance costs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Non-current deferred revenue</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240" w:type="dxa"/>
            <w:vAlign w:val="bottom"/>
          </w:tcPr>
          <w:p>
            <w:pPr>
              <w:spacing w:after="0"/>
              <w:rPr>
                <w:sz w:val="15"/>
                <w:szCs w:val="15"/>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Churchill Downs Incorporated shareholders' equity</w:t>
            </w: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0" w:type="dxa"/>
            <w:vAlign w:val="bottom"/>
          </w:tcPr>
          <w:p>
            <w:pPr>
              <w:spacing w:after="0"/>
              <w:rPr>
                <w:sz w:val="1"/>
                <w:szCs w:val="1"/>
                <w:color w:val="auto"/>
              </w:rPr>
            </w:pPr>
          </w:p>
        </w:tc>
      </w:tr>
      <w:tr>
        <w:trPr>
          <w:trHeight w:val="288"/>
        </w:trPr>
        <w:tc>
          <w:tcPr>
            <w:tcW w:w="72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71278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5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5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3"/>
                <w:szCs w:val="13"/>
                <w:color w:val="auto"/>
              </w:rPr>
            </w:pP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tcPr>
          <w:p>
            <w:pPr>
              <w:spacing w:after="0"/>
              <w:rPr>
                <w:sz w:val="13"/>
                <w:szCs w:val="13"/>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893.6</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center"/>
              <w:ind w:left="1156"/>
              <w:spacing w:after="0"/>
              <w:rPr>
                <w:sz w:val="20"/>
                <w:szCs w:val="20"/>
                <w:color w:val="auto"/>
              </w:rPr>
            </w:pPr>
            <w:r>
              <w:rPr>
                <w:rFonts w:ascii="Times New Roman" w:cs="Times New Roman" w:eastAsia="Times New Roman" w:hAnsi="Times New Roman"/>
                <w:sz w:val="13"/>
                <w:szCs w:val="13"/>
                <w:color w:val="auto"/>
                <w:w w:val="98"/>
              </w:rPr>
              <w:t>0.3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center"/>
              <w:ind w:left="113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jc w:val="center"/>
              <w:ind w:left="1136"/>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500" w:type="dxa"/>
            <w:vAlign w:val="bottom"/>
          </w:tcPr>
          <w:p>
            <w:pPr>
              <w:jc w:val="center"/>
              <w:ind w:left="1176"/>
              <w:spacing w:after="0"/>
              <w:rPr>
                <w:sz w:val="20"/>
                <w:szCs w:val="20"/>
                <w:color w:val="auto"/>
              </w:rPr>
            </w:pPr>
            <w:r>
              <w:rPr>
                <w:rFonts w:ascii="Times New Roman" w:cs="Times New Roman" w:eastAsia="Times New Roman" w:hAnsi="Times New Roman"/>
                <w:sz w:val="13"/>
                <w:szCs w:val="13"/>
                <w:color w:val="auto"/>
                <w:w w:val="96"/>
              </w:rPr>
              <w:t>73.5</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center"/>
              <w:ind w:left="1136"/>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1500" w:type="dxa"/>
            <w:vAlign w:val="bottom"/>
          </w:tcPr>
          <w:p>
            <w:pPr>
              <w:jc w:val="center"/>
              <w:ind w:left="1176"/>
              <w:spacing w:after="0"/>
              <w:rPr>
                <w:sz w:val="20"/>
                <w:szCs w:val="20"/>
                <w:color w:val="auto"/>
              </w:rPr>
            </w:pPr>
            <w:r>
              <w:rPr>
                <w:rFonts w:ascii="Times New Roman" w:cs="Times New Roman" w:eastAsia="Times New Roman" w:hAnsi="Times New Roman"/>
                <w:sz w:val="13"/>
                <w:szCs w:val="13"/>
                <w:color w:val="auto"/>
                <w:w w:val="96"/>
              </w:rPr>
              <w:t>73.4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1,031.9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center"/>
              <w:ind w:left="1156"/>
              <w:spacing w:after="0"/>
              <w:rPr>
                <w:sz w:val="20"/>
                <w:szCs w:val="20"/>
                <w:color w:val="auto"/>
              </w:rPr>
            </w:pPr>
            <w:r>
              <w:rPr>
                <w:rFonts w:ascii="Times New Roman" w:cs="Times New Roman" w:eastAsia="Times New Roman" w:hAnsi="Times New Roman"/>
                <w:sz w:val="13"/>
                <w:szCs w:val="13"/>
                <w:color w:val="auto"/>
                <w:w w:val="98"/>
              </w:rPr>
              <w:t>0.2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center"/>
              <w:ind w:left="1136"/>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September 30, 2024</w:t>
            </w:r>
          </w:p>
        </w:tc>
        <w:tc>
          <w:tcPr>
            <w:tcW w:w="1500" w:type="dxa"/>
            <w:vAlign w:val="bottom"/>
            <w:tcBorders>
              <w:bottom w:val="single" w:sz="8" w:color="auto"/>
            </w:tcBorders>
          </w:tcPr>
          <w:p>
            <w:pPr>
              <w:jc w:val="center"/>
              <w:ind w:left="1176"/>
              <w:spacing w:after="0"/>
              <w:rPr>
                <w:sz w:val="20"/>
                <w:szCs w:val="20"/>
                <w:color w:val="auto"/>
              </w:rPr>
            </w:pPr>
            <w:r>
              <w:rPr>
                <w:rFonts w:ascii="Times New Roman" w:cs="Times New Roman" w:eastAsia="Times New Roman" w:hAnsi="Times New Roman"/>
                <w:sz w:val="13"/>
                <w:szCs w:val="13"/>
                <w:color w:val="auto"/>
                <w:w w:val="96"/>
              </w:rPr>
              <w:t>73.5</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1,096.3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2453640</wp:posOffset>
            </wp:positionV>
            <wp:extent cx="71278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100965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18"/>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September 30,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889.6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271145</wp:posOffset>
            </wp:positionV>
            <wp:extent cx="71278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100965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1078"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120" w:type="dxa"/>
            <w:vAlign w:val="bottom"/>
          </w:tcPr>
          <w:p>
            <w:pPr>
              <w:spacing w:after="0"/>
              <w:rPr>
                <w:sz w:val="15"/>
                <w:szCs w:val="15"/>
                <w:color w:val="auto"/>
              </w:rPr>
            </w:pPr>
          </w:p>
        </w:tc>
        <w:tc>
          <w:tcPr>
            <w:tcW w:w="4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359.7</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 impairments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Arlington</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84"/>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498.8</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maintenance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project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Arlington</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(415.8)</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(549.5)</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(1,297.1)</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dividends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issuance costs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bank overdraft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discontinued operations: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activities of discontinued operations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w:t>
            </w:r>
          </w:p>
        </w:tc>
      </w:tr>
      <w:tr>
        <w:trPr>
          <w:trHeight w:val="17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22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78"/>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from income tax refunds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2"/>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Schedule of non-cash operating, investing and financing activities:</w:t>
            </w: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additions included in accounts payable and accrued expenses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operating leases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finance leases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 included in accrued expense and other current liabilities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payments for acquisition of business included in other liabilities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2023 Condensed Consolidated Balance Sheet data was derived from audited financial statements but does not include all disclosures required by GAAP.</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information is unaudited. All per share amounts assume dilution unless otherwise noted. This report should be read in conjunction with our Annual Report on Form 10-K for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opinion of management, all adjustments necessary for a fair statement of this information have been made, and all such adjustments are of a normal, recurring nature.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April 2024, the Company closed on the sale of 49% of the United Tote Company (“United Tote”), a wholly-owned subsidiary of CDI, to NYRA Content Management Solutions, LLC ("NYRA"), a subsidiary of the New York Racing Association, Inc. Refer to Note 11, Redeemable Noncontrolling Interest, for further information on the transaction.</w:t>
      </w:r>
    </w:p>
    <w:p>
      <w:pPr>
        <w:spacing w:after="0" w:line="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TwinSpires, and Gaming. We aggregate our other businesses as well as certain corporate operations in All Other. We report net revenue and operating expense associated with these reportable segments in the accompanying Condensed Consolidated Statements of Comprehensive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effective in 2024 or thereafter</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which enhances the disclosures required for operating segments in the Company’s annual and interim consolidated financial statements. The amendments are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impact of this standard on the consolidated financial statements and related disclosures.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are expected to be applied prospectively to all annual periods beginning after December 15, 2024. The Company is currently evaluating the impact of this standard on the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247015</wp:posOffset>
            </wp:positionV>
            <wp:extent cx="71278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Exacta Systems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22, 2023, the Company completed its acquisition of Exacta Systems, LLC ("Exacta") for a purchase consideration of $248.2 million, net of cash acquired, which consisted of a $241.3 million cash payment and $6.9 million of deferred payments, which are payable over two years from acquisition (the "Exacta Transaction"). As of September 30, 2024, there were $1.2 million deferred payments remaining. Exacta is a leading provider of central determinate system technology in Historical Racing Machines ("HRMs") across the country. The Exacta Transaction enables the Company to realize significant synergies related to the Company’s HRM operations. Exacta operates within the Company’s TwinSpires segment and will continue to service its growing portfolio of third-party HRM operators in Kentucky, Wyoming, and New Hampshire and plans to expand its international presence.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of $177.4 million related to the Exacta Transaction was recognized, of which $96.0 million was allocated to the Live and Historical Racing segment and $81.4 million was allocated to the TwinSpires segment. The goodwill related to the Exacta Transaction is deductible for tax purposes.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GOODWILL AND OTHER INTANGIBLE ASSETS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Goodwill, by segment, is composed of the following:</w:t>
            </w: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w:t>
            </w:r>
          </w:p>
        </w:tc>
        <w:tc>
          <w:tcPr>
            <w:tcW w:w="20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2023</w:t>
            </w: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1040" w:type="dxa"/>
            <w:vAlign w:val="bottom"/>
            <w:tcBorders>
              <w:top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899.9</w:t>
            </w:r>
          </w:p>
        </w:tc>
      </w:tr>
      <w:tr>
        <w:trPr>
          <w:trHeight w:val="184"/>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2024</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900.2</w:t>
            </w:r>
          </w:p>
        </w:tc>
      </w:tr>
      <w:tr>
        <w:trPr>
          <w:trHeight w:val="20"/>
        </w:trPr>
        <w:tc>
          <w:tcPr>
            <w:tcW w:w="4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goodwill impairment analysis as of April 1, 2024,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intangible assets are comprised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9"/>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3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0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6"/>
        </w:trPr>
        <w:tc>
          <w:tcPr>
            <w:tcW w:w="29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r>
      <w:tr>
        <w:trPr>
          <w:trHeight w:val="171"/>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second quarter of 2023, the Company recognized a $24.5 million non-cash impairment charge for the Presque Isle Downs and Casino ("Presque Isle") gaming rights and trademark. The Company continues to monitor the current economic conditions and the impacts on the results of operations of Presque Isle. Future economic conditions could have a negative impact on the estimates and assumptions utilized in our asset impairment assessments. These potential impacts could increase the risk of a future impairment of assets at Presque Isle.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indefinite-lived intangible assets impairment analysis as of April 1, 2024.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effective income tax rate for the three months ended September 30, 2024 was higher than the U.S. federal statutory rate of 21.0% primarily resulting from state income taxes, non-deductible officer's compensation, and other non-deductible expense, partially offset by the excess tax benefit from the payment of restricted stock compensation and the tax benefit from the expiration of the statute of limitations for certain unrecognized tax benefits. The Company's effective income tax rate for the nine months ended September 30, 2024 was higher than the U.S. federal statutory rate of 21.0% primarily resulting from state income taxes and non-deductible officer's compensation.</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effective income tax rate for the three months ended September 30, 2023 was higher than the U.S. federal statutory rate of 21.0% primarily resulting from state income taxes. The Company’s effective income tax rate for the nine months ended September 30, 2023 was higher than the U.S. federal statutory rate of 21.0% primarily resulting from state income taxes and non-deductible officer’s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The 2021 Stock Repurchase Program includes and is not in addition to any unspent amount remaining under the prior program authorization. Repurchases may be made at management’s discretion from time to time on the open market (either with or without a 10b5-1 plan) or through privately negotiated transactions. The repurchase program has no time limit and may be suspended or discontinued at any time.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the following shares under the 2021 Stock Repurchase Program: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c>
          <w:tcPr>
            <w:tcW w:w="3180" w:type="dxa"/>
            <w:vAlign w:val="bottom"/>
            <w:gridSpan w:val="6"/>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millions, except share data)</w:t>
            </w:r>
          </w:p>
        </w:tc>
        <w:tc>
          <w:tcPr>
            <w:tcW w:w="8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9"/>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02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8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1"/>
        </w:trPr>
        <w:tc>
          <w:tcPr>
            <w:tcW w:w="30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5"/>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 Stock Repurchase Program</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310,367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345,834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310,367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had approximately $170.9 million of repurchase authority remaining under the 2021 Stock Repurchase Program at September 30, 2024, based on trade date.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Two for One Stock Split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May 22, 2023, the Company's common stock was split two-for-one with a proportionate increase in the number of its authorized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STOCK-BASED COMPENSATION PLANS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stock-based employee compensation plans with awards outstanding under the Churchill Downs Incorporated 2016 Omnibus Stock Incentive Plan (the "2016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plan was $7.1 million and $23.2 million for the three months and nine months ended September 30, 2024 and $8.1 million and $24.8 million for the three months and nine months ended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247015</wp:posOffset>
            </wp:positionV>
            <wp:extent cx="71278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nine months ended September 30, 2024, the Company awarded RSUs to employees, RSUs and PSUs to certain named executive officers ("NEOs"), and RSAs and RSUs to directors. The vesting criteria for the PSU awards granted in 2024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are converted into shares of our common stock at the time the PSU award value is finalized.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RSAs, RSUs and PSUs granted during 2024 is presented below (units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Type</w:t>
            </w:r>
          </w:p>
        </w:tc>
        <w:tc>
          <w:tcPr>
            <w:tcW w:w="80" w:type="dxa"/>
            <w:vAlign w:val="bottom"/>
          </w:tcPr>
          <w:p>
            <w:pPr>
              <w:spacing w:after="0"/>
              <w:rPr>
                <w:sz w:val="17"/>
                <w:szCs w:val="17"/>
                <w:color w:val="auto"/>
              </w:rPr>
            </w:pPr>
          </w:p>
        </w:tc>
        <w:tc>
          <w:tcPr>
            <w:tcW w:w="1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Units Awarded</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61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Vesting Terms</w:t>
            </w:r>
          </w:p>
        </w:tc>
      </w:tr>
      <w:tr>
        <w:trPr>
          <w:trHeight w:val="199"/>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144</w:t>
            </w:r>
          </w:p>
        </w:tc>
        <w:tc>
          <w:tcPr>
            <w:tcW w:w="8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 equally over three service periods ending in 2026</w:t>
            </w:r>
          </w:p>
        </w:tc>
      </w:tr>
      <w:tr>
        <w:trPr>
          <w:trHeight w:val="18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8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Three-year performance and service period ending in 2026</w:t>
            </w:r>
          </w:p>
        </w:tc>
      </w:tr>
      <w:tr>
        <w:trPr>
          <w:trHeight w:val="184"/>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One-year service period ending in 2025</w:t>
            </w:r>
          </w:p>
        </w:tc>
      </w:tr>
    </w:tbl>
    <w:p>
      <w:pPr>
        <w:spacing w:after="0" w:line="133" w:lineRule="exact"/>
        <w:rPr>
          <w:sz w:val="20"/>
          <w:szCs w:val="20"/>
          <w:color w:val="auto"/>
        </w:rPr>
      </w:pPr>
    </w:p>
    <w:p>
      <w:pPr>
        <w:ind w:left="140" w:hanging="135"/>
        <w:spacing w:after="0"/>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PSUs reflect the target number of units for the original PSU grant.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DEBT</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total debt outstanding:</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2"/>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60" w:type="dxa"/>
            <w:vAlign w:val="bottom"/>
          </w:tcPr>
          <w:p>
            <w:pPr>
              <w:spacing w:after="0"/>
              <w:rPr>
                <w:sz w:val="17"/>
                <w:szCs w:val="17"/>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7"/>
                <w:szCs w:val="17"/>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2030 Senior Notes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2031 Senior Notes</w:t>
            </w: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r>
      <w:tr>
        <w:trPr>
          <w:trHeight w:val="180"/>
        </w:trPr>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4"/>
        </w:trPr>
        <w:tc>
          <w:tcPr>
            <w:tcW w:w="7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Unamortized premium and deferred finance charges</w:t>
            </w: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 and costs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4,770.6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September 30, 2024, the Company’s senior secured credit facility (as amended from time to time, the “Credit Agreement") consisted of a $1.2 billion revolving credit facility (the "Revolver"), $289.5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September 30, 2024, that applicable margin was 150 basis points which was based on the pricing grid in the Credit Agreement. The Company had $902.4 million available borrowing capacity, after consideration of $7.6 million in outstanding letters of credit, under the Revolver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September 30, 2024, the Company's commitment fee rate was 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30,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any time prior to April 25, 2025, at redemption prices set forth in the 2031 Offering Memorandum.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REVENUE FROM CONTRACTS WITH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our Live and Historical Racing segment had remaining performance obligations on contracts with a duration greater than one year relating to television rights, sponsorships, personal seat licenses, and admissions, with an aggregate transaction price of $262.3 million. The revenue we expect to recognize on these remaining performance obligations is $1.0 million for the remainder of 2024, $58.1 million in 2025, $57.1 million in 2026, and the remainder thereafter.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our remaining performance obligations on contracts with a duration greater than one year in segments other than Live and Historical Racing were not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Contract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and December 31, 2023, contract assets were not material.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September 30, 2024 and December 31, 2023, contract liabilities were $54.9 million and $92.3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recognized deferred revenue related to the 150th Kentucky Derby. We recognized $1.1 million and $74.1 million of revenue during the three months and nine months ended September 30, 2024, respectively, which was included in the contract liabilities balance at December 31, 2023. We recognized $1.2 million and $43.6 million of revenue during the three months and nine months ended September 30, 2023, respectively, which was included in the contract liabilities balance at December 31,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included its disaggregated revenue disclosures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ind w:left="540" w:hanging="249"/>
        <w:spacing w:after="0" w:line="264" w:lineRule="auto"/>
        <w:tabs>
          <w:tab w:leader="none" w:pos="5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spacing w:after="0" w:line="55" w:lineRule="exact"/>
        <w:rPr>
          <w:rFonts w:ascii="Times New Roman" w:cs="Times New Roman" w:eastAsia="Times New Roman" w:hAnsi="Times New Roman"/>
          <w:sz w:val="14"/>
          <w:szCs w:val="14"/>
          <w:color w:val="auto"/>
        </w:rPr>
      </w:pPr>
    </w:p>
    <w:p>
      <w:pPr>
        <w:ind w:left="480" w:hanging="18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TwinSpires segment, revenue is disaggregated between live and simulcast racing, gaming, and other services.</w:t>
      </w:r>
    </w:p>
    <w:p>
      <w:pPr>
        <w:spacing w:after="0" w:line="93" w:lineRule="exact"/>
        <w:rPr>
          <w:rFonts w:ascii="Times New Roman" w:cs="Times New Roman" w:eastAsia="Times New Roman" w:hAnsi="Times New Roman"/>
          <w:sz w:val="14"/>
          <w:szCs w:val="14"/>
          <w:color w:val="auto"/>
        </w:rPr>
      </w:pPr>
    </w:p>
    <w:p>
      <w:pPr>
        <w:ind w:left="540" w:hanging="249"/>
        <w:spacing w:after="0" w:line="287" w:lineRule="auto"/>
        <w:tabs>
          <w:tab w:leader="none" w:pos="5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5"/>
        </w:trPr>
        <w:tc>
          <w:tcPr>
            <w:tcW w:w="46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Churchill Downs Racetrack</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Louisville</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Northern Kentucky</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Southwestern Kentucky</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Western Kentucky</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Hampshire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5"/>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Live and Historical Racing</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tcPr>
          <w:p>
            <w:pPr>
              <w:spacing w:after="0"/>
              <w:rPr>
                <w:sz w:val="24"/>
                <w:szCs w:val="2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Florida</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Iowa</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Indiana</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Louisiana</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Maine</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Maryland</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Mississippi</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Pennsylvania</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67"/>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Gaming</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revenue from external customers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2,110.1</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Intercompany net revenues:</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TwinSpires</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Gaming</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Eliminations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Intercompany net revenue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302895</wp:posOffset>
            </wp:positionV>
            <wp:extent cx="71278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5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0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0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380" w:hanging="375"/>
        <w:spacing w:after="0" w:line="270" w:lineRule="auto"/>
        <w:tabs>
          <w:tab w:leader="none" w:pos="34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$14.2 million for the three months ended September 30, 2024 and $13.3 million 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12700</wp:posOffset>
            </wp:positionV>
            <wp:extent cx="71481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511810</wp:posOffset>
            </wp:positionV>
            <wp:extent cx="71278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100965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71481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6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22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millions)</w:t>
            </w:r>
          </w:p>
        </w:tc>
        <w:tc>
          <w:tcPr>
            <w:tcW w:w="22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 revenue from external customers</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ri-mutuel:</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ive and simulcast racing</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83"/>
        </w:trPr>
        <w:tc>
          <w:tcPr>
            <w:tcW w:w="3500" w:type="dxa"/>
            <w:vAlign w:val="bottom"/>
          </w:tcPr>
          <w:p>
            <w:pPr>
              <w:ind w:left="40"/>
              <w:spacing w:after="0" w:line="183" w:lineRule="exact"/>
              <w:rPr>
                <w:sz w:val="20"/>
                <w:szCs w:val="20"/>
                <w:color w:val="auto"/>
              </w:rPr>
            </w:pPr>
            <w:r>
              <w:rPr>
                <w:rFonts w:ascii="Times New Roman" w:cs="Times New Roman" w:eastAsia="Times New Roman" w:hAnsi="Times New Roman"/>
                <w:sz w:val="14"/>
                <w:szCs w:val="14"/>
                <w:color w:val="auto"/>
              </w:rPr>
              <w:t>istorical racing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cing event-related services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80"/>
        </w:trPr>
        <w:tc>
          <w:tcPr>
            <w:tcW w:w="35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ming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0" w:type="dxa"/>
            <w:vAlign w:val="bottom"/>
          </w:tcPr>
          <w:p>
            <w:pPr>
              <w:spacing w:after="0"/>
              <w:rPr>
                <w:sz w:val="1"/>
                <w:szCs w:val="1"/>
                <w:color w:val="auto"/>
              </w:rPr>
            </w:pPr>
          </w:p>
        </w:tc>
      </w:tr>
      <w:tr>
        <w:trPr>
          <w:trHeight w:val="187"/>
        </w:trPr>
        <w:tc>
          <w:tcPr>
            <w:tcW w:w="350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her</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otal</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460" w:hanging="375"/>
        <w:spacing w:after="0" w:line="270" w:lineRule="auto"/>
        <w:tabs>
          <w:tab w:leader="none" w:pos="42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$41.7 million for the nine months ended September 30, 2024 and $37.8 million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277495</wp:posOffset>
            </wp:positionV>
            <wp:extent cx="712787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93980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220" w:top="15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SUPPLEMENTAL BALANCE SHEET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is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240" w:type="dxa"/>
            <w:vAlign w:val="bottom"/>
            <w:tcBorders>
              <w:top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Simulcast and online wagering receivables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67"/>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7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 wagering deposits liability</w:t>
            </w:r>
          </w:p>
        </w:tc>
        <w:tc>
          <w:tcPr>
            <w:tcW w:w="2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salaries and related benefits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Purses payable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fixed assets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gaming liabilities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7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REDEEMABLE NONCONTROLLING INTEREST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2024, the Company closed on the sale of 49% of United Tote, a wholly-owned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2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 initial measurement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4"/>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Redemption value adjustment</w:t>
            </w: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9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INVESTMENTS IN AND ADVANCES TO UNCONSOLIDATED AFFILIATES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Investments in and advances to unconsolidated affiliates as of September 30, 2024 and December 31, 2023 primarily consisted of interests in Rivers Casino Des Plaines ("Rivers Des Plaines") and Miami Valley Gaming and Racing ("MVG").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Rivers Casino Des Plaines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As of September 30, 2024, the net aggregate basis difference between the Company’s investment in Rivers Des Plaines and the amounts of the underlying equity in net assets was $832.9 million.</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Rivers Des Plaines was $537.9 million and $541.2 million as of September 30, 2024 and December 31, 2023, respectively. The Company received distributions from Rivers Des Plaines of $78.8 million and $93.1 million for the nine months ended September 30, 2024 and 2023,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Miami Valley Gaming and Racing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MVG was $112.3 million and $114.6 million as of September 30, 2024 and December 31, 2023, respectively. The Company received distributions from MVG of $35.0 million and $33.5 million for the nine months ended September 30, 2024 and 2023,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Results for our Unconsolidated Affiliates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below are the financial results for our unconsolidated affiliates.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5"/>
                <w:szCs w:val="15"/>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Operating and SG&amp;A expense</w:t>
            </w:r>
          </w:p>
        </w:tc>
        <w:tc>
          <w:tcPr>
            <w:tcW w:w="1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0" w:type="dxa"/>
            <w:vAlign w:val="bottom"/>
          </w:tcPr>
          <w:p>
            <w:pPr>
              <w:spacing w:after="0"/>
              <w:rPr>
                <w:sz w:val="1"/>
                <w:szCs w:val="1"/>
                <w:color w:val="auto"/>
              </w:rPr>
            </w:pPr>
          </w:p>
        </w:tc>
      </w:tr>
      <w:tr>
        <w:trPr>
          <w:trHeight w:val="167"/>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net</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24"/>
                <w:szCs w:val="24"/>
                <w:color w:val="auto"/>
              </w:rPr>
            </w:pPr>
          </w:p>
        </w:tc>
        <w:tc>
          <w:tcPr>
            <w:tcW w:w="162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7"/>
        </w:trPr>
        <w:tc>
          <w:tcPr>
            <w:tcW w:w="35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Deficit</w:t>
            </w: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5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Members' deficit</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members' deficit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FAIR VALUE OF ASSETS AND LIABILITIES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restricted cash accounts held in money market and interest-bearing accounts qualify for Level 1 in the fair value hierarchy, which includes unadjusted quoted market prices in active markets for identical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amounts and estimated fair values by input level of the Company's financial instruments are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NET INCOME PER COMMON SHARE COMPUTATIONS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net income per common share computations: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 share data)</w:t>
            </w: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Numerator for basic and diluted net income per common share:</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84"/>
        </w:trPr>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related to redeemable noncontrolling interest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Denominator for net income per common share: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84"/>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Plus dilutive effect of stock awards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per common share data:</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 net income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4"/>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 net income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SEGMENT INFORMATION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operations through three reportable segments: Live and Historical Racing, TwinSpires, and Gaming. Our operating segments reflect the internal management reporting used by our chief operating decision maker to evaluate results of operations and to assess performance and allocate resources.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September 7, 2023, the Company began operating retail sports betting at its racetracks and HRM facilities in Kentucky. In addition to retail sports betting, third-party service providers began operating online sports wagering in partnership with the Company’s racetracks on September 28, 2023. Our retail and online sports betting business is included in the TwinSpires segment.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94" w:lineRule="exact"/>
        <w:rPr>
          <w:sz w:val="20"/>
          <w:szCs w:val="20"/>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our property in Arlington Heights, Illinois ("Arlington") ceased racing and simulcast operations and the property was sold on February 15, 2023 to the Chicago Bears.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Arlington's results and exit costs in 2023 are treated as an adjustment to EBITDA</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net revenue from external customers, Adjusted EBITDA by segment and reconciles comprehensive income to Adjusted EBITDA: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revenue by segment is comprised of the following:</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7"/>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24"/>
                <w:szCs w:val="24"/>
                <w:color w:val="auto"/>
              </w:rPr>
            </w:pPr>
          </w:p>
        </w:tc>
        <w:tc>
          <w:tcPr>
            <w:tcW w:w="3000" w:type="dxa"/>
            <w:vAlign w:val="bottom"/>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818.9</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TwinSpires</w:t>
            </w: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w:t>
            </w:r>
          </w:p>
        </w:tc>
      </w:tr>
      <w:tr>
        <w:trPr>
          <w:trHeight w:val="184"/>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1,900.5</w:t>
            </w: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1340485</wp:posOffset>
            </wp:positionV>
            <wp:extent cx="71278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2"/>
        </w:trPr>
        <w:tc>
          <w:tcPr>
            <w:tcW w:w="58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6"/>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300" w:type="dxa"/>
            <w:vAlign w:val="bottom"/>
            <w:tcBorders>
              <w:bottom w:val="single" w:sz="8" w:color="auto"/>
            </w:tcBorders>
          </w:tcPr>
          <w:p>
            <w:pPr>
              <w:spacing w:after="0"/>
              <w:rPr>
                <w:sz w:val="17"/>
                <w:szCs w:val="17"/>
                <w:color w:val="auto"/>
              </w:rPr>
            </w:pP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460" w:type="dxa"/>
            <w:vAlign w:val="bottom"/>
          </w:tcPr>
          <w:p>
            <w:pPr>
              <w:spacing w:after="0"/>
              <w:rPr>
                <w:sz w:val="14"/>
                <w:szCs w:val="14"/>
                <w:color w:val="auto"/>
              </w:rPr>
            </w:pPr>
          </w:p>
        </w:tc>
        <w:tc>
          <w:tcPr>
            <w:tcW w:w="13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w:t>
            </w: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 and purses</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other taxes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74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20"/>
        </w:trPr>
        <w:tc>
          <w:tcPr>
            <w:tcW w:w="5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30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460" w:type="dxa"/>
            <w:vAlign w:val="bottom"/>
          </w:tcPr>
          <w:p>
            <w:pPr>
              <w:spacing w:after="0"/>
              <w:rPr>
                <w:sz w:val="14"/>
                <w:szCs w:val="14"/>
                <w:color w:val="auto"/>
              </w:rPr>
            </w:pPr>
          </w:p>
        </w:tc>
        <w:tc>
          <w:tcPr>
            <w:tcW w:w="13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4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478155</wp:posOffset>
            </wp:positionV>
            <wp:extent cx="71278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32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440" w:type="dxa"/>
            <w:vAlign w:val="bottom"/>
          </w:tcPr>
          <w:p>
            <w:pPr>
              <w:spacing w:after="0"/>
              <w:rPr>
                <w:sz w:val="14"/>
                <w:szCs w:val="14"/>
                <w:color w:val="auto"/>
              </w:rPr>
            </w:pPr>
          </w:p>
        </w:tc>
        <w:tc>
          <w:tcPr>
            <w:tcW w:w="13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tcPr>
          <w:p>
            <w:pPr>
              <w:spacing w:after="0"/>
              <w:rPr>
                <w:sz w:val="15"/>
                <w:szCs w:val="15"/>
                <w:color w:val="auto"/>
              </w:rPr>
            </w:pPr>
          </w:p>
        </w:tc>
        <w:tc>
          <w:tcPr>
            <w:tcW w:w="4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787.9</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32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440" w:type="dxa"/>
            <w:vAlign w:val="bottom"/>
          </w:tcPr>
          <w:p>
            <w:pPr>
              <w:spacing w:after="0"/>
              <w:rPr>
                <w:sz w:val="14"/>
                <w:szCs w:val="14"/>
                <w:color w:val="auto"/>
              </w:rPr>
            </w:pPr>
          </w:p>
        </w:tc>
        <w:tc>
          <w:tcPr>
            <w:tcW w:w="13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tcPr>
          <w:p>
            <w:pPr>
              <w:spacing w:after="0"/>
              <w:rPr>
                <w:sz w:val="15"/>
                <w:szCs w:val="15"/>
                <w:color w:val="auto"/>
              </w:rPr>
            </w:pPr>
          </w:p>
        </w:tc>
        <w:tc>
          <w:tcPr>
            <w:tcW w:w="4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744.4</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302895</wp:posOffset>
            </wp:positionV>
            <wp:extent cx="71278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93980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55" w:right="31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80" w:type="dxa"/>
            <w:vAlign w:val="bottom"/>
          </w:tcPr>
          <w:p>
            <w:pPr>
              <w:spacing w:after="0"/>
              <w:rPr>
                <w:sz w:val="14"/>
                <w:szCs w:val="14"/>
                <w:color w:val="auto"/>
              </w:rPr>
            </w:pPr>
          </w:p>
        </w:tc>
        <w:tc>
          <w:tcPr>
            <w:tcW w:w="3000" w:type="dxa"/>
            <w:vAlign w:val="bottom"/>
            <w:gridSpan w:val="4"/>
          </w:tcPr>
          <w:p>
            <w:pPr>
              <w:jc w:val="right"/>
              <w:ind w:right="66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84"/>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0" w:type="dxa"/>
            <w:vAlign w:val="bottom"/>
          </w:tcPr>
          <w:p>
            <w:pPr>
              <w:spacing w:after="0"/>
              <w:rPr>
                <w:sz w:val="1"/>
                <w:szCs w:val="1"/>
                <w:color w:val="auto"/>
              </w:rPr>
            </w:pPr>
          </w:p>
        </w:tc>
      </w:tr>
      <w:tr>
        <w:trPr>
          <w:trHeight w:val="184"/>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Adjustments to EBITDA:</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Pre-opening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Arlington exit costs</w:t>
            </w: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expenses,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 impairments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expense,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 equity</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80"/>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Rivers Des Plaines' legal reserves and transaction costs</w:t>
            </w: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Gain on sale of Arlington</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1"/>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adjustments to EBITDA</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by segment: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67"/>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71"/>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532130</wp:posOffset>
            </wp:positionV>
            <wp:extent cx="71278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The table below presents total asset information for each of our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4,068.7</w:t>
            </w:r>
          </w:p>
        </w:tc>
        <w:tc>
          <w:tcPr>
            <w:tcW w:w="42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TwinSpires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1,920.9</w:t>
            </w:r>
          </w:p>
        </w:tc>
        <w:tc>
          <w:tcPr>
            <w:tcW w:w="0" w:type="dxa"/>
            <w:vAlign w:val="bottom"/>
          </w:tcPr>
          <w:p>
            <w:pPr>
              <w:spacing w:after="0"/>
              <w:rPr>
                <w:sz w:val="1"/>
                <w:szCs w:val="1"/>
                <w:color w:val="auto"/>
              </w:rPr>
            </w:pPr>
          </w:p>
        </w:tc>
      </w:tr>
      <w:tr>
        <w:trPr>
          <w:trHeight w:val="167"/>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assets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6,267.7</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71"/>
        </w:trPr>
        <w:tc>
          <w:tcPr>
            <w:tcW w:w="7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table below presents total capital expenditures for each of our segments: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right"/>
              <w:ind w:right="103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4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TwinSpires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67"/>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capital expenditures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71"/>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SUBSEQUENT EVENTS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At its regularly scheduled meeting held on October 22, 2024, the Board of Directors of the Company declared an annual cash dividend on the Company's common stock of $0.409 per outstanding share, to be paid on January 3, 2025, to shareholders of record as of the close of business on December 6, 2024, with aggregate cash dividend paid to each shareholder rounded to the nearest whole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558800</wp:posOffset>
            </wp:positionV>
            <wp:extent cx="71278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39"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extraordinary events, such as terrorist attacks, public health threats, civil unrest, and inclement weather, including as a result of climate change;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economic conditions on our consumers' confidence and discretionary spending or our access to credit, including the impact of inflation;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increased taxes and fees;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pandemics, epidemics, or outbreaks of infectious diseases, and related economic matters on our results of operations, financial conditions, and prospects;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confidence in the integrity of our core businesses or any deterioration in our reputation;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or highly skilled personnel, as well as general disruptions in the general labor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competition, and the expectation that competition levels will increase;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attendance, wagering, and sponsorships;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equity investments, strategic alliances, and other third-party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respond to rapid technological changes in a timely manner;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and evolution of slot machine and historical racing machine ("HRM") manufacturing and other technology conditions that could impose additional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enter into or maintain agreements with industry constituents, including horsemen and other racetracks;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focus on market access and retail operations for our TwinSpires sports betting business and effectively compete;</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our technology services and catastrophic events and system failures disrupting our operations;</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complete, or fully realize the benefits of, our proposed acquisitions, divestitures, development of new venues or the expansion of existing facilities on time, on budget, or as planned;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integrating recent or future acquisitions into our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overruns and other uncertainties associated with the development of new venues and the expansion of existing facilities;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risks related to real estate ownership and significant expenditures, including risks related to environmental liabilities;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injury litigation related to injuries occurring at our racetracks;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8" w:name="page29"/>
    <w:bookmarkEnd w:id="28"/>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Foreign Corrupt Practices Act or other similar laws and regulations, or applicable anti-money laundering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payment-related risks, such as risk associated with fraudulent credit card or debit card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and labor problems;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pending or future legal proceedings and other 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regulated operations and changes in the regulatory environment could adversely affect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in our debt facilities limiting our flexibility to operate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ratios and other covenants in our debt facilities and other indebtedness;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to interest rates (due to inflation or otherwise);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credit markets or changes to our credit ratings may adversely affect our business;</w:t>
      </w:r>
    </w:p>
    <w:p>
      <w:pPr>
        <w:spacing w:after="0" w:line="93"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our insurance costs, or inability to obtain similar insurance coverage in the future, and any inability to recover under our insurance policies for damages sustained at our properties in the event of inclement weather and casualty events;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under the heading “Risk Factors” in our most recent Annual Report on Form 10-K and in other filings we make with the Securities and Exchange Commission.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undertake any obligation to update or revise any forward-looking statements, whether as a result of new information, future events or otherwise, except as required by law.</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2023,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365125</wp:posOffset>
            </wp:positionV>
            <wp:extent cx="71278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TwinSpires, and Gaming. We aggregate our other businesses as well as certain corporate operations in All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Indicators to Evaluate Business Results and Financial Condition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defined as earnings before interest, taxes, depreciation and amortization, adjusted for the following: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94" w:lineRule="exact"/>
        <w:rPr>
          <w:sz w:val="20"/>
          <w:szCs w:val="20"/>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our property in Arlington Heights, Illinois ("Arlington") ceased racing and simulcast operations and the property was sold on February 15, 2023 to the Chicago Bears.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Arlington's results and exit costs in 2023 are treated as an adjustment to EBITDA</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Governmental Regulations and Legislative Changes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various federal, state, and international laws and regulations that affect our businesses. The ownership, operation, and management of our Live and Historical Racing, TwinSpires,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2023, including Part I - Item 1, "Business" for a discussion of regulatory and legislative changes.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Specific State Gaming Regulations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Louisiana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Louisiana, the 2021 Historical Horse Racing Act (the "2021 HHR Act") allows off-track betting facilities ("OTBs") to have up to 50 HRMs. On October 25, 2022, a number of individual plaintiffs associated with video poker and truckstops,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The case was lodged in the Louisiana Supreme Court on August 7, 2024 and the Company, and other appellants, including the Louisiana Attorney General on behalf of the Louisiana Racing Commission, filed opening briefs on October 9, 2024. The Company intends to vigorously defend the constitutionality of the HHR Act.</w:t>
      </w:r>
    </w:p>
    <w:p>
      <w:pPr>
        <w:spacing w:after="0" w:line="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September 30, 2024, the Company had approximately 500 HRMs in OTBs in Louisiana. If the 2021 HHR Act is determined to be unconstitutional it could have an adverse impact on our Louisiana HRM results which are reported in our Gaming segment.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our net revenue, operating income, net income attributable to Churchill Downs Incorporated, Adjusted EBITDA, and certain other financial information: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4"/>
                <w:szCs w:val="14"/>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02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572.5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2,110.1</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5"/>
              </w:rPr>
              <w:t>1,900.5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2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margin</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2"/>
        </w:trPr>
        <w:tc>
          <w:tcPr>
            <w:tcW w:w="2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Churchill</w:t>
            </w: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Downs Incorporated</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96" w:lineRule="exact"/>
        <w:rPr>
          <w:sz w:val="20"/>
          <w:szCs w:val="20"/>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$56.0 million driven by a $28.0 million increase from the Live and Historical Racing segment primarily due to the opening of the Rosie's Emporia property in September 2023 and growth at our other HRM properties, a $25.4 million increase from the Gaming segment primarily driven by the opening of the Terre Haute Casino Resort in April 2024, and a $2.8 million increase from the TwinSpires segment primarily due to Exacta. All Other net revenue decreased $0.2 million.</w:t>
      </w:r>
    </w:p>
    <w:p>
      <w:pPr>
        <w:spacing w:after="0" w:line="50" w:lineRule="exact"/>
        <w:rPr>
          <w:rFonts w:ascii="Times New Roman" w:cs="Times New Roman" w:eastAsia="Times New Roman" w:hAnsi="Times New Roman"/>
          <w:sz w:val="14"/>
          <w:szCs w:val="14"/>
          <w:b w:val="1"/>
          <w:bCs w:val="1"/>
          <w:i w:val="1"/>
          <w:iCs w:val="1"/>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Operating income increased $13.6 million driven by a $14.9 million increase from the Live and Historical Racing segment primarily due to the opening of the Rosie's Emporia property in September 2023 and growth at our other HRM properties, a $6.2 million increase from the Gaming segment primarily due to opening of the Terre Haute Casino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1" w:name="page32"/>
    <w:bookmarkEnd w:id="31"/>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Resort in April 2024 that was partially offset by regional gaming softness and increased competition, a $5.5 million decrease in transaction costs primarily driven by the settlement of certain liabilities recorded at the time of the Company's acquisition of substantially all of the assets of Peninsula Pacific Entertainment LLC in 2022, and a $3.9 million increase in the TwinSpires segment primarily due to Exacta. Partially offsetting these increases to operating income was a $9.6 million increase in selling, general and administrative expenses, a $3.9 million write-off of HRMs in Virginia that are no longer in use, and a $3.4 million decrease in All Other operating income.</w:t>
      </w:r>
    </w:p>
    <w:p>
      <w:pPr>
        <w:spacing w:after="0" w:line="56" w:lineRule="exact"/>
        <w:rPr>
          <w:sz w:val="20"/>
          <w:szCs w:val="20"/>
          <w:color w:val="auto"/>
        </w:rPr>
      </w:pPr>
    </w:p>
    <w:p>
      <w:pPr>
        <w:jc w:val="both"/>
        <w:ind w:left="520" w:hanging="260"/>
        <w:spacing w:after="0" w:line="263"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income attributable to Churchill Downs Incorporated increased $4.4 million. The following impacted the comparability of the Company's net income for the three months ended September 30, 2024 compared to the three months ended September 30, 2023: a $3.0 million increase in after-tax non-cash impairment costs, partially offset by a $1.7 million after-tax net decrease in transaction, pre-open and other expenses, and a $0.6 million after-tax decrease of other items. Excluding these items, net income increased $5.1 million due to a $10.5 million after-tax increase primarily driven by the results of our operations, partially offset by a $5.4 million after-tax increase in interest expense associated primarily with higher outstanding debt balances.</w:t>
      </w:r>
    </w:p>
    <w:p>
      <w:pPr>
        <w:spacing w:after="0" w:line="228"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Adjusted EBITDA increased $17.1 million driven by a $12.1 million increase from the Live and Historical Racing segment primarily due to growth at our Virginia HRM properties, an $8.6 million increase from the TwinSpires segment primarily due to Exacta, and a $1.0 million increase from the Gaming segment driven by the opening of the Terre Haute Casino Resort in April 2024 that was partially offset by regional gaming softness and increased competition. These increases were partially offset by a decrease of All Other adjusted EBITDA of $4.6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96" w:lineRule="exact"/>
        <w:rPr>
          <w:sz w:val="20"/>
          <w:szCs w:val="20"/>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$209.6 million driven by a $138.4 million increase from the Live and Historical Racing segment primarily due to a record-breaking Derby Week at Churchill Downs Racetrack, the opening of the Rosie's Emporia property in September 2023 and growth at our other HRM properties, a $42.9 million increase from the Gaming segment primarily driven by the opening of the Terre Haute Casino Resort in April 2024, and a $28.9 million increase from the TwinSpires segment primarily due to Exacta. All Other net revenue decreased $0.6 million.</w:t>
      </w:r>
    </w:p>
    <w:p>
      <w:pPr>
        <w:spacing w:after="0" w:line="50"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59"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increased $124.4 million driven by a $94.2 million increase from the Live and Historical Racing segment primarily due to a record-breaking Derby Week at Churchill Downs Racetrack, Exacta savings, the opening of the Rosie's Emporia property in September 2023, and growth at our other HRM properties, a $20.6 million increase attributable to a $24.5 million non-cash impairment of Presque Isle intangible assets in the second quarter of 2023 compared to a $3.9 million write-off of HRMs in Virginia that are no longer in use in the third quarter of 2024, a $19.2 million increase in the TwinSpires segment primarily due to Exacta, a $9.5 million increase from the Gaming segment primarily due to opening of the Terre Haute Casino Resort in April 2024, partially offset by inclement weather in January, regional gaming softness, and increased competition, a $1.2 million increase in All Other operating income, and a $1.1 million decrease in transaction costs. Partially offsetting these increases to operating income was a $21.4 million increase in selling, general and administrative expenses.</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income attributable to Churchill Downs Incorporated decreased $4.6 million. The following impacted the comparability of the Company's net income for the nine months ended September 30, 2024 compared to the nine months ended September 30, 2023: an $86.2 million after-tax gain on the sale of the Arlington property in the prior year, partially offset by a $15.7 million decrease in after-tax non-cash impairment costs, a $4.8 million after-tax increase of other recoveries, net related to non-recurring insurance claim recoveries, and a $3.2 million decrease of other items. Excluding these items, net income increased $57.9 million primarily due to a $72.0 million after-tax increase primarily driven by the results of our operations, partially offset by a $14.1 million after-tax increase in interest expense associated with higher outstanding debt balances and higher interest rates.</w:t>
      </w:r>
    </w:p>
    <w:p>
      <w:pPr>
        <w:spacing w:after="0" w:line="58"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4"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Adjusted EBITDA increased $117.8 million driven by an $86.5 million increase from the Live and Historical Racing segment primarily due to a record-breaking Derby Week at Churchill Downs Racetrack and growth at our HRM properties, a $31.1 million increase from the TwinSpires segment primarily due to Exacta, and an $11.6 million increase from the Gaming segment driven by the opening of the Terre Haute Casino Resort in April 2024 that was partially offset by inclement weather in January 2024, regional gaming softness, and increased competition. These increases were partially offset by a decrease of All Other adjusted EBITDA of $11.4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745490</wp:posOffset>
            </wp:positionV>
            <wp:extent cx="71278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Revenue by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for our segments, including intercompany revenue:</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9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225.5</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244.9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7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572.5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r>
      <w:tr>
        <w:trPr>
          <w:trHeight w:val="20"/>
        </w:trPr>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53" w:lineRule="exact"/>
        <w:rPr>
          <w:sz w:val="20"/>
          <w:szCs w:val="20"/>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revenue increased $26.9 million due to a $21.6 million increase attributable to growth at our Virginia properties and the opening of the Rosie's Emporia property in September 2023, a $3.8 million increase attributable to growth at our Northern Kentucky properties, and a $1.5 million net increase at our other Live and Historical Racing properties.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revenue increased $6.3 million due to a $9.6 million increase attributable to Exacta and a $1.3 million increase attributable to our online sports betting market access agreements and our retail sports betting business. These increases were partially offset by a $4.6 million decrease primarily attributable to a decline in TwinSpires Horse Racing handle due to market access and shifts in race days at other tracks.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$25.4 million due to a $32.5 million increase attributable to the opening of the Terre Haute Casino Resort in April 2024, partially offset by a $7.1 million decrease primarily due to regional gaming softness and increased competition.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revenue increased due to intercompany revenue related to the captive insurance company that was established in April 2024. All captive revenue is eliminated in consolidation.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96" w:lineRule="exact"/>
        <w:rPr>
          <w:sz w:val="20"/>
          <w:szCs w:val="20"/>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revenue increased $142.2 million due to a $54.5 million increase at Churchill Downs Racetrack, which includes a $38.6 million increase due to a record-breaking Derby Week, a $52.5 million increase attributable to growth at our Virginia properties and the opening of the Rosie's Emporia property in September 2023, a $34.0 million increase attributable to growth at our Kentucky HRM properties, and a $1.2 million increase at our New Hampshire property.</w:t>
      </w:r>
    </w:p>
    <w:p>
      <w:pPr>
        <w:spacing w:after="0" w:line="50"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revenue increased $44.9 million due to a $38.6 million increase attributable to Exacta, a $5.5 million increase attributable to our online sports betting market access agreements and our retail sports betting business, and a $0.8 million increase attributable to TwinSpires Horse Racing.</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$43.5 million due to a $66.3 million increase attributable to the opening of the Terre Haute Casino Resort in April 2024, partially offset by a $12.5 million decrease primarily due to inclement weather in January 2024, regional gaming softness, and increased competition, and a $10.3 million decrease due to our decision not to renew the management agreement at Lady Luck at the end of June 2023.</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All Other revenue increased due to intercompany revenue related to the captive insurance company that was established in April 2024. All captive revenue is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Consolidated Operating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consolidated operating expense: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34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501.2</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expense, net</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Asset impairments</w:t>
            </w: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expense</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502.6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1,527.9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1,442.7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and Nine Months Ended September 30, 2024, Compared to Three and Nine Months Ended September 30, 2023</w:t>
      </w:r>
    </w:p>
    <w:p>
      <w:pPr>
        <w:spacing w:after="0" w:line="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Operating expenses increased $42.4 million and $85.2 million for the three and nine months ended September 30, 2024 compared to September 30, 2023 primarily due to the Exacta Transaction in August 2023, the opening of Rosie's Emporia in September 2023, Derby City Gaming Downtown in December 2023, and Terre Haute Casino Resort in Indiana on April 5, 2024 and the hotel on May 15, 2024, and The Rose Gaming Resort in Virginia. Transaction expenses, net for the three months ended September 30, 2024, includes the settlement of certain liabilities recorded at the time of the Company's acquisition of substantially all of the assets of Peninsula Pacific Entertainment LLC in 2022 which resulted in a reduction in transaction expenses of $5.1 million. Asset impairments for the nine months ended September 30, 2024 include a $3.9 million write-off in the third quarter of 2024 of HRMs in Virginia that are no longer in use. Asset impairments for the nine months ended September 30, 2024 include the $24.5 million non-cash impairment of Presque Isle intangible assets in the second quarter of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2"/>
        </w:trPr>
        <w:tc>
          <w:tcPr>
            <w:tcW w:w="3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473.0</w:t>
            </w:r>
          </w:p>
        </w:tc>
        <w:tc>
          <w:tcPr>
            <w:tcW w:w="140" w:type="dxa"/>
            <w:vAlign w:val="bottom"/>
          </w:tcPr>
          <w:p>
            <w:pPr>
              <w:spacing w:after="0"/>
              <w:rPr>
                <w:sz w:val="14"/>
                <w:szCs w:val="14"/>
                <w:color w:val="auto"/>
              </w:rPr>
            </w:pPr>
          </w:p>
        </w:tc>
        <w:tc>
          <w:tcPr>
            <w:tcW w:w="100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128.3</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386.8</w:t>
            </w: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67"/>
        </w:trPr>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988.1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r>
      <w:tr>
        <w:trPr>
          <w:trHeight w:val="18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(65.5)</w:t>
            </w: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71"/>
        </w:trPr>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922.6</w:t>
            </w: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302895</wp:posOffset>
            </wp:positionV>
            <wp:extent cx="71278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Compared to Three Months Ended September 30, 2023</w:t>
      </w:r>
    </w:p>
    <w:p>
      <w:pPr>
        <w:spacing w:after="0" w:line="43" w:lineRule="exact"/>
        <w:rPr>
          <w:sz w:val="20"/>
          <w:szCs w:val="20"/>
          <w:color w:val="auto"/>
        </w:rPr>
      </w:pPr>
    </w:p>
    <w:p>
      <w:pPr>
        <w:jc w:val="both"/>
        <w:ind w:left="520" w:hanging="260"/>
        <w:spacing w:after="0" w:line="248"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Adjusted EBITDA increased $12.1 million due to a $15.2 million increase attributable to growth at our Virginia properties, which includes $3.9 million related to Exacta savings, and a $3.2 million increase attributable primarily to growth at our Northern Kentucky and Southwestern Kentucky HRM properties. These increases were partially offset by a $4.1 million decrease attributable to our Louisville and Western Kentucky HRM properties, a $1.4 million decrease attributable to Churchill Downs Racetrack, and a $0.8 million decrease attributable to proceeds for business interruption insurance claims in the third quarter 2023 that did not reoccur.</w:t>
      </w:r>
    </w:p>
    <w:p>
      <w:pPr>
        <w:spacing w:after="0" w:line="1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Adjusted EBITDA increased $8.6 million due to a $7.5 million increase attributable to Exacta and a $1.1 million increase primarily attributable to our online sports betting market access agreements and our retail sports betting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4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increased $1.0 million due to a $12.4 million increase attributable to the opening of the Terre Haute Casino Resort in April 2024, partially offset by a $10.2 million decrease primarily due to regional gaming softness, increased competition, and higher labor and benefit expense, and a $1.2 million decrease attributable to proceeds for business interruption insurance claims in the third quarter 2023 that did not reoccur.</w:t>
      </w:r>
    </w:p>
    <w:p>
      <w:pPr>
        <w:spacing w:after="0" w:line="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$4.6 million driven primarily by increased corporate compensation related expenses and other corporate administrative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Nine Months Ended September 30, 2023</w:t>
      </w:r>
    </w:p>
    <w:p>
      <w:pPr>
        <w:spacing w:after="0" w:line="85" w:lineRule="exact"/>
        <w:rPr>
          <w:sz w:val="20"/>
          <w:szCs w:val="20"/>
          <w:color w:val="auto"/>
        </w:rPr>
      </w:pPr>
    </w:p>
    <w:p>
      <w:pPr>
        <w:jc w:val="both"/>
        <w:ind w:left="520" w:hanging="260"/>
        <w:spacing w:after="0" w:line="254" w:lineRule="auto"/>
        <w:tabs>
          <w:tab w:leader="none" w:pos="516"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Adjusted EBITDA increased $86.5 million due to a $44.1 million increase attributable to growth at our Virginia properties, which includes $15.3 million related to Exacta savings, a $33.9 million increase at Churchill Downs Racetrack, which includes a $31.3 million increase due to a record-breaking Derby Week, and an $8.5 million increase from growth at our other HRM properties.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line="27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Adjusted EBITDA increased $31.1 million due to a $27.0 million increase attributable to Exacta and a $4.9 million increase attributable to our online sports betting market access agreements and our retail sports betting business, partially offset by a $0.8 million decrease attributable to TwinSpires Horse Racing.</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increased $11.6 million due to a $33.1 million increase attributable to the opening of the Terre Haute Casino Resort in April 2024, partially offset by a $20.3 million decrease primarily due to inclement weather in January 2024, regional gaming softness, and increased competition, and a $1.2 million decrease attributable to proceeds for business interruption insurance claims in the third quarter 2023 that did not reoccur.</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$11.4 million driven primarily by increased corporate compensation related expenses and other corporate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4"/>
                <w:szCs w:val="14"/>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4"/>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4"/>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17.0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Adjustments to EBITDA:</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8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Arlington exit costs</w:t>
            </w: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impairments</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expense, net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Rivers Des Plaines' legal reserves and transactions costs</w:t>
            </w: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4"/>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sale of Arlington</w:t>
            </w: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1"/>
        </w:trPr>
        <w:tc>
          <w:tcPr>
            <w:tcW w:w="3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adjustments to EBITDA</w:t>
            </w: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17.1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our overall financial position: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7"/>
                <w:szCs w:val="17"/>
                <w:color w:val="auto"/>
              </w:rPr>
            </w:pPr>
          </w:p>
        </w:tc>
        <w:tc>
          <w:tcPr>
            <w:tcW w:w="16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7,172.5</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6,955.5</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6,057.6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6,061.9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9"/>
              </w:rPr>
              <w:t>1,114.9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items affecting the comparability of our Condensed Consolidated Balance Sheets include:</w:t>
      </w:r>
    </w:p>
    <w:p>
      <w:pPr>
        <w:spacing w:after="0" w:line="94"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increased $217.0 million driven by increased capital expenditures primarily at the Terre Haute Casino Resort, Churchill Downs Racetrack, Owensboro Racing and Gaming in Western Kentucky, and The Rose Gaming Resort in Virginia.</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decreased $4.3 million driven primarily by decreased deferred revenue due to the recognition of revenue related to the 150th Kentucky Derby and the payment of dividends, partially offset by increased accounts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6" w:name="page37"/>
    <w:bookmarkEnd w:id="36"/>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equity increased $221.3 million driven by net income and the addition of a redeemable noncontrolling interest, partially offset by share repurchases.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liquidity and cash flows: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9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2"/>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w:t>
            </w: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641.1</w:t>
            </w:r>
          </w:p>
        </w:tc>
        <w:tc>
          <w:tcPr>
            <w:tcW w:w="100" w:type="dxa"/>
            <w:vAlign w:val="bottom"/>
          </w:tcPr>
          <w:p>
            <w:pPr>
              <w:spacing w:after="0"/>
              <w:rPr>
                <w:sz w:val="14"/>
                <w:szCs w:val="14"/>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8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142.3</w:t>
            </w:r>
          </w:p>
        </w:tc>
      </w:tr>
      <w:tr>
        <w:trPr>
          <w:trHeight w:val="180"/>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Investing activities</w:t>
            </w:r>
          </w:p>
        </w:tc>
        <w:tc>
          <w:tcPr>
            <w:tcW w:w="1120" w:type="dxa"/>
            <w:vAlign w:val="bottom"/>
          </w:tcPr>
          <w:p>
            <w:pPr>
              <w:spacing w:after="0"/>
              <w:rPr>
                <w:sz w:val="15"/>
                <w:szCs w:val="15"/>
                <w:color w:val="auto"/>
              </w:rPr>
            </w:pPr>
          </w:p>
        </w:tc>
        <w:tc>
          <w:tcPr>
            <w:tcW w:w="5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133.7</w:t>
            </w:r>
          </w:p>
        </w:tc>
      </w:tr>
      <w:tr>
        <w:trPr>
          <w:trHeight w:val="184"/>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activities</w:t>
            </w:r>
          </w:p>
        </w:tc>
        <w:tc>
          <w:tcPr>
            <w:tcW w:w="1120" w:type="dxa"/>
            <w:vAlign w:val="bottom"/>
          </w:tcPr>
          <w:p>
            <w:pPr>
              <w:spacing w:after="0"/>
              <w:rPr>
                <w:sz w:val="16"/>
                <w:szCs w:val="16"/>
                <w:color w:val="auto"/>
              </w:rPr>
            </w:pPr>
          </w:p>
        </w:tc>
        <w:tc>
          <w:tcPr>
            <w:tcW w:w="5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(255.4)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Compared to the Nine Months Ended September 30, 2023</w:t>
      </w:r>
    </w:p>
    <w:p>
      <w:pPr>
        <w:spacing w:after="0" w:line="53"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provided by operating activities increased $142.3 million driven primarily a decrease in cash used for working capital and an increase in operating income, partially offset by increased interest paid and decreased distributions from our unconsolidated affiliates in 2024. We anticipate that cash flows from operations and availability of borrowings under our credit facility over the next twelve months will be adequate to fund our business operations and capital expenditures.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used in investing activities decreased $133.7 million primarily driven by decreased funds used in acquisitions and capital expenditures in 2024, partially offset by proceeds from the Arlington sale received in 2023.</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Cash flows used in financing activities increased $255.4 million primarily driven by share repurchases in 2024 and decreased net proceeds from long-term debt in 2024 compared to 2023.</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announced several project capital investments, including the following: Starting Gate Pavilion and Courtyard at Churchill Downs Racetrack, The Rose Gaming Resort in Northern Virginia, Owensboro Racing and Gaming in Western Kentucky, and a Calvert City HRM Venue in Southwestern Kentucky. We currently expect our project capital to be approximately $450.0 to $550.0 million in 2024, although this amount may vary significantly based on the timing of work completed, unanticipated delays, and timing of payments to third parties.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 Program</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The 2021 Stock Repurchase Program includes and is not in addition to the unspent amount remaining under the prior authorization. Repurchases may be made at management’s discretion from time to time on the open market (either with or without a 10b5-1 plan) or through privately negotiated transactions. The repurchase program has no time limit and may be suspended or discontinued at any time. During the third quarter of 2024, we repurchased 67,139 shares of the Company's common stock under the 2021 Stock Repurchase Program for a total cost of approximately $9.0 million. We had approximately $170.9 million of repurchase authority remaining under this program on September 30, 2024, based on trade date.</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1230630</wp:posOffset>
            </wp:positionV>
            <wp:extent cx="71278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 and Indebtedness</w:t>
            </w: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debt outstanding:</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7"/>
                <w:szCs w:val="17"/>
                <w:color w:val="auto"/>
              </w:rPr>
            </w:pPr>
          </w:p>
        </w:tc>
        <w:tc>
          <w:tcPr>
            <w:tcW w:w="158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Senior Notes</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w:t>
            </w:r>
          </w:p>
        </w:tc>
        <w:tc>
          <w:tcPr>
            <w:tcW w:w="2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net of premiums and discounts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debt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4,770.6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September 30, 2024, the Company’s senior secured credit facility (as amended from time to time, the “Credit Agreement") consisted of a $1.2 billion revolving credit facility (the "Revolver"), $289.5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and (ii) amend certain other provisions to the Credit Agreement.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September 30, 2024, that applicable margin was 150 basis points which was based on the pricing grid in the Credit Agreement. The Company had $902.4 million available borrowing capacity, after consideration of $7.6 million in outstanding letters of credit, under the Revolver as of September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September 30, 2024, the Company's commitment fee rate was 0.25%.</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estimated contractual payments, including interest, under the Credit Agreement for the next twelve months are estimated to be $178.5 million assuming no change in the weighted average borrowing rate of 6.5%, which was in place as of September 30, 2024. During the nine months ended September 30, 2024, we had repayments of principal and interest on the Credit Agreement of $858.2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30,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247015</wp:posOffset>
            </wp:positionV>
            <wp:extent cx="71278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any time prior to April 25, 2025, at redemption prices set forth in the 2031 Offering Memorandum.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September 30, 2024, minimum rent payable under operating leases was $26.9 million, with $6.0 million due in the next twelve months. As of September 30, 2024, minimum rent payable accounted for as financing obligations was $56.3 million, with $5.0 million due in the next twelve months.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Contractual Obligations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other contractual obligations with commitments of $12.4 million, $1.6 million of which is due within the next twelve months.</w:t>
      </w:r>
    </w:p>
    <w:p>
      <w:pPr>
        <w:spacing w:after="0" w:line="134" w:lineRule="exact"/>
        <w:rPr>
          <w:sz w:val="20"/>
          <w:szCs w:val="20"/>
          <w:color w:val="auto"/>
        </w:rPr>
      </w:pPr>
    </w:p>
    <w:p>
      <w:pPr>
        <w:ind w:right="554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ITEM 3. QUANTITATIVE AND QUALITATIVE DISCLOSURES ABOUT MARKET RISK </w:t>
      </w:r>
      <w:r>
        <w:rPr>
          <w:rFonts w:ascii="Times New Roman" w:cs="Times New Roman" w:eastAsia="Times New Roman" w:hAnsi="Times New Roman"/>
          <w:sz w:val="14"/>
          <w:szCs w:val="14"/>
          <w:color w:val="auto"/>
        </w:rPr>
        <w:t>We are exposed to market risks arising from adverse changes in:</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trends;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and credit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economic trends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credit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exposure to market risk relates to changes in interest rates. On September 30, 2024, we had $1.8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$12.9 million.</w:t>
      </w:r>
    </w:p>
    <w:p>
      <w:pPr>
        <w:spacing w:after="0" w:line="91"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by the Securities and Exchange Commission Rule 13a-15(e), we carried out an evaluation, under the supervision and with the participation of management, including our Chief Executive Officer and Chief Financial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9" w:name="page40"/>
    <w:bookmarkEnd w:id="39"/>
    <w:p>
      <w:pPr>
        <w:jc w:val="both"/>
        <w:spacing w:after="0" w:line="287" w:lineRule="auto"/>
        <w:rPr>
          <w:sz w:val="20"/>
          <w:szCs w:val="20"/>
          <w:color w:val="auto"/>
        </w:rPr>
      </w:pPr>
      <w:r>
        <w:rPr>
          <w:rFonts w:ascii="Times New Roman" w:cs="Times New Roman" w:eastAsia="Times New Roman" w:hAnsi="Times New Roman"/>
          <w:sz w:val="14"/>
          <w:szCs w:val="14"/>
          <w:color w:val="auto"/>
        </w:rPr>
        <w:t>effectiveness of the design and operation of our disclosure controls and procedures as of September 30, 2024. Based upon the foregoing, our Chief Executive Officer and Chief Financial Officer concluded that our disclosure controls and procedures were effective.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0" w:name="page41"/>
    <w:bookmarkEnd w:id="40"/>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PART II.</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involved in ordinary routine litigation matters which are incidental to our business. Refer to Note 14, Contingencies, in the notes to our condensed consolidated financial statements, for further information.</w:t>
      </w:r>
    </w:p>
    <w:p>
      <w:pPr>
        <w:spacing w:after="0" w:line="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risk factors previously disclosed in Part I, Item 1A of our Annual Report on Form 10-K for the year ended December 31, 2023.</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shares of common stock that we repurchased during the quarter ended September 30,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4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00" w:type="dxa"/>
            <w:vAlign w:val="bottom"/>
          </w:tcPr>
          <w:p>
            <w:pPr>
              <w:spacing w:after="0"/>
              <w:rPr>
                <w:sz w:val="12"/>
                <w:szCs w:val="12"/>
                <w:color w:val="auto"/>
              </w:rPr>
            </w:pPr>
          </w:p>
        </w:tc>
        <w:tc>
          <w:tcPr>
            <w:tcW w:w="1760" w:type="dxa"/>
            <w:vAlign w:val="bottom"/>
            <w:gridSpan w:val="2"/>
          </w:tcPr>
          <w:p>
            <w:pPr>
              <w:jc w:val="right"/>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7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b w:val="1"/>
                <w:bCs w:val="1"/>
                <w:color w:val="auto"/>
                <w:w w:val="93"/>
              </w:rPr>
              <w:t xml:space="preserve">Purchased </w:t>
            </w:r>
            <w:r>
              <w:rPr>
                <w:rFonts w:ascii="Times New Roman" w:cs="Times New Roman" w:eastAsia="Times New Roman" w:hAnsi="Times New Roman"/>
                <w:sz w:val="18"/>
                <w:szCs w:val="18"/>
                <w:b w:val="1"/>
                <w:bCs w:val="1"/>
                <w:color w:val="auto"/>
                <w:w w:val="93"/>
                <w:vertAlign w:val="superscript"/>
              </w:rPr>
              <w:t>(1)(2)</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5"/>
                <w:szCs w:val="15"/>
                <w:color w:val="auto"/>
              </w:rPr>
            </w:pPr>
          </w:p>
        </w:tc>
        <w:tc>
          <w:tcPr>
            <w:tcW w:w="1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or Programs (in millions)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July 2024</w:t>
            </w:r>
          </w:p>
        </w:tc>
        <w:tc>
          <w:tcPr>
            <w:tcW w:w="8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80"/>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August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137.72</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84"/>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134.02</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0" w:type="dxa"/>
            <w:vAlign w:val="bottom"/>
          </w:tcPr>
          <w:p>
            <w:pPr>
              <w:spacing w:after="0"/>
              <w:rPr>
                <w:sz w:val="1"/>
                <w:szCs w:val="1"/>
                <w:color w:val="auto"/>
              </w:rPr>
            </w:pPr>
          </w:p>
        </w:tc>
      </w:tr>
      <w:tr>
        <w:trPr>
          <w:trHeight w:val="171"/>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68,117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134.07</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hanging="375"/>
        <w:spacing w:after="0" w:line="287" w:lineRule="auto"/>
        <w:tabs>
          <w:tab w:leader="none" w:pos="37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includes and is not in addition to the unspent amount remaining under the prior authorization. The repurchase program has no time limit and may be suspended or discontinued at any time.</w:t>
      </w:r>
    </w:p>
    <w:p>
      <w:pPr>
        <w:spacing w:after="0" w:line="3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withheld to pay taxes on the vesting of restricted stock and restricted stock units or to pay taxes on the exercise of stock options granted to employees.</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September 30, 2024,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ITEM 6.</w:t>
            </w:r>
          </w:p>
        </w:tc>
        <w:tc>
          <w:tcPr>
            <w:tcW w:w="5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By reference to:</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220" w:type="dxa"/>
            <w:vAlign w:val="bottom"/>
            <w:gridSpan w:val="3"/>
          </w:tcPr>
          <w:p>
            <w:pPr>
              <w:jc w:val="center"/>
              <w:ind w:right="69"/>
              <w:spacing w:after="0"/>
              <w:rPr>
                <w:sz w:val="20"/>
                <w:szCs w:val="20"/>
                <w:color w:val="auto"/>
              </w:rPr>
            </w:pPr>
            <w:r>
              <w:rPr>
                <w:rFonts w:ascii="Times New Roman" w:cs="Times New Roman" w:eastAsia="Times New Roman" w:hAnsi="Times New Roman"/>
                <w:sz w:val="14"/>
                <w:szCs w:val="14"/>
                <w:color w:val="auto"/>
              </w:rPr>
              <w:t>10.01</w:t>
            </w: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Amended and Restated Churchill Downs Incorporated 2000 Employee Stock</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Plan (Effective, as Amended and Restated, August 1, 2024)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22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color w:val="auto"/>
              </w:rPr>
              <w:t>31(a)</w:t>
            </w: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 Section 302 of the Sarbanes-Oxley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 of 2002*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22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color w:val="auto"/>
                <w:w w:val="98"/>
              </w:rPr>
              <w:t>31(b)</w:t>
            </w: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 of 2002*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45" w:lineRule="exact"/>
        <w:rPr>
          <w:sz w:val="20"/>
          <w:szCs w:val="20"/>
          <w:color w:val="auto"/>
        </w:rPr>
      </w:pPr>
    </w:p>
    <w:p>
      <w:pPr>
        <w:ind w:left="1240" w:right="3899" w:hanging="746"/>
        <w:spacing w:after="0" w:line="233"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of Chief Executive Officer and Principal Financial Officer Pursuant to 18 U.S.C. Section 1350, As Adopted Pursuant to Section 906 of the Sarbanes-Oxley Act of 2002 (furnished pursuant to Rule 13a – 14(b))**</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101.INS</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w:t>
            </w:r>
          </w:p>
        </w:tc>
      </w:tr>
      <w:tr>
        <w:trPr>
          <w:trHeight w:val="184"/>
        </w:trPr>
        <w:tc>
          <w:tcPr>
            <w:tcW w:w="740" w:type="dxa"/>
            <w:vAlign w:val="bottom"/>
          </w:tcPr>
          <w:p>
            <w:pPr>
              <w:spacing w:after="0"/>
              <w:rPr>
                <w:sz w:val="16"/>
                <w:szCs w:val="16"/>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r>
      <w:tr>
        <w:trPr>
          <w:trHeight w:val="229"/>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101.SCH</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101.CAL</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101.DEF</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101.LAB</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101.PRE</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39" w:lineRule="exact"/>
        <w:rPr>
          <w:sz w:val="20"/>
          <w:szCs w:val="20"/>
          <w:color w:val="auto"/>
        </w:rPr>
      </w:pPr>
    </w:p>
    <w:p>
      <w:pPr>
        <w:ind w:left="1240" w:right="3999" w:hanging="782"/>
        <w:spacing w:after="0" w:line="239"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as Inline XBRL and contained in Exhibit 101)</w:t>
      </w:r>
    </w:p>
    <w:p>
      <w:pPr>
        <w:spacing w:after="0" w:line="50" w:lineRule="exact"/>
        <w:rPr>
          <w:rFonts w:ascii="Times New Roman" w:cs="Times New Roman" w:eastAsia="Times New Roman" w:hAnsi="Times New Roman"/>
          <w:sz w:val="14"/>
          <w:szCs w:val="14"/>
          <w:color w:val="auto"/>
        </w:rPr>
      </w:pPr>
    </w:p>
    <w:p>
      <w:pPr>
        <w:ind w:left="1240" w:right="7679"/>
        <w:spacing w:after="0" w:line="3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1278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FORM 10-Q FOR THE QUARTERLY PERIOD ENDED SEPTEMBER 30, 2024</w:t>
      </w:r>
    </w:p>
    <w:p>
      <w:pPr>
        <w:spacing w:after="0" w:line="2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100965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19"/>
          </w:cols>
          <w:pgMar w:left="340" w:top="972" w:right="1440" w:bottom="1440" w:gutter="0" w:footer="0" w:header="0"/>
        </w:sectPr>
      </w:pPr>
    </w:p>
    <w:bookmarkStart w:id="42" w:name="page43"/>
    <w:bookmarkEnd w:id="42"/>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r>
      <w:tr>
        <w:trPr>
          <w:trHeight w:val="785"/>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October 23, 2024</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C. Carstanjen</w:t>
            </w:r>
          </w:p>
        </w:tc>
      </w:tr>
      <w:tr>
        <w:trPr>
          <w:trHeight w:val="167"/>
        </w:trPr>
        <w:tc>
          <w:tcPr>
            <w:tcW w:w="55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r>
      <w:tr>
        <w:trPr>
          <w:trHeight w:val="180"/>
        </w:trPr>
        <w:tc>
          <w:tcPr>
            <w:tcW w:w="55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9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October 23, 2024</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Marcia A. Dall</w:t>
            </w:r>
          </w:p>
        </w:tc>
      </w:tr>
      <w:tr>
        <w:trPr>
          <w:trHeight w:val="167"/>
        </w:trPr>
        <w:tc>
          <w:tcPr>
            <w:tcW w:w="55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Marcia A. Dall</w:t>
            </w:r>
          </w:p>
        </w:tc>
      </w:tr>
      <w:tr>
        <w:trPr>
          <w:trHeight w:val="180"/>
        </w:trPr>
        <w:tc>
          <w:tcPr>
            <w:tcW w:w="55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ectPr>
          <w:pgSz w:w="11900" w:h="16838" w:orient="portrait"/>
          <w:cols w:equalWidth="0" w:num="1">
            <w:col w:w="11080"/>
          </w:cols>
          <w:pgMar w:left="300" w:top="123" w:right="51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C. Carstanjen, certify that:</w:t>
      </w:r>
    </w:p>
    <w:p>
      <w:pPr>
        <w:spacing w:after="0" w:line="179" w:lineRule="exact"/>
        <w:rPr>
          <w:sz w:val="20"/>
          <w:szCs w:val="20"/>
          <w:color w:val="auto"/>
        </w:rPr>
      </w:pPr>
    </w:p>
    <w:p>
      <w:pPr>
        <w:ind w:left="380" w:hanging="375"/>
        <w:spacing w:after="0"/>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October 23, 2024</w:t>
      </w:r>
      <w:r>
        <w:rPr>
          <w:sz w:val="20"/>
          <w:szCs w:val="20"/>
          <w:color w:val="auto"/>
        </w:rPr>
        <w:tab/>
      </w:r>
      <w:r>
        <w:rPr>
          <w:rFonts w:ascii="Times New Roman" w:cs="Times New Roman" w:eastAsia="Times New Roman" w:hAnsi="Times New Roman"/>
          <w:sz w:val="13"/>
          <w:szCs w:val="13"/>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William C. Carstanjen</w:t>
      </w:r>
    </w:p>
    <w:p>
      <w:pPr>
        <w:ind w:left="624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62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Marcia A. Dall, certify that:</w:t>
      </w:r>
    </w:p>
    <w:p>
      <w:pPr>
        <w:spacing w:after="0" w:line="179"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October 23, 2024</w:t>
      </w:r>
      <w:r>
        <w:rPr>
          <w:sz w:val="20"/>
          <w:szCs w:val="20"/>
          <w:color w:val="auto"/>
        </w:rPr>
        <w:tab/>
      </w: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Marcia A. Dall</w:t>
      </w:r>
    </w:p>
    <w:p>
      <w:pPr>
        <w:ind w:left="624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ectPr>
          <w:pgSz w:w="11900" w:h="16838" w:orient="portrait"/>
          <w:cols w:equalWidth="0" w:num="1">
            <w:col w:w="11280"/>
          </w:cols>
          <w:pgMar w:left="300" w:top="727"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Quarterly Report on Form 10-Q of Churchill Downs Incorporated (the “Company”) for the quarterly period ended September 30, 2024,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40" w:lineRule="exact"/>
        <w:rPr>
          <w:sz w:val="20"/>
          <w:szCs w:val="20"/>
          <w:color w:val="auto"/>
        </w:rPr>
      </w:pPr>
    </w:p>
    <w:p>
      <w:pPr>
        <w:ind w:left="640" w:hanging="253"/>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C. Carstanjen</w:t>
      </w:r>
    </w:p>
    <w:p>
      <w:pPr>
        <w:ind w:left="2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2024</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Marcia A. Dall</w:t>
      </w:r>
    </w:p>
    <w:p>
      <w:pPr>
        <w:ind w:left="2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2024</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lvl w:ilvl="1">
      <w:lvlJc w:val="left"/>
      <w:lvlText w:val="\endash "/>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2024-10-23T15:30:34Z</dcterms:created>
  <dcterms:modified xsi:type="dcterms:W3CDTF">2024-10-23T15:30:34Z</dcterms:modified>
</cp:coreProperties>
</file>